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image/png" PartName="/word/media/document_image_rId2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val="false"/>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Ghamraoui v Tweed Shire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[2022] NSWLEC 1612</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7-9 September 2022</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04 November 2022</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4 November 2022</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Horton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 that:</w:t>
                </w:r>
                <w:r>
                  <w:br/>
                </w:r>
                <w:r>
                  <w:t xml:space="preserve">(1) The appeal is upheld. </w:t>
                </w:r>
                <w:r>
                  <w:br/>
                </w:r>
                <w:r>
                  <w:t xml:space="preserve">(2) Development application DA 21/0689 for the demolition of existing buildings and the construction of a 12 storey residential flat building containing 96 units and 3 levels of basement parking (in addition to 2 part levels), tree removal, site consolidation and strata subdivision is determined by the grant of consent, subject to conditions of consent at Annexure A. </w:t>
                </w:r>
                <w:r>
                  <w:br/>
                </w:r>
                <w:r>
                  <w:t xml:space="preserve">(3) All Exhibits are returned, but for Exhibits A, D and 9.</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residential apartment development – residential flat building in R3 Medium Density Residential zone – view loss assessment – whether proposed development exhibits design excellence – consideration of public submissions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Architects Act 2003</w:t>
                </w:r>
                <w:r>
                  <w:br/>
                </w:r>
                <w:r>
                  <w:t xml:space="preserve">Environmental Planning and Assessment Act 1979, ss 4.16, 4.46, 7.11 8.7 </w:t>
                </w:r>
                <w:r>
                  <w:br/>
                </w:r>
                <w:r>
                  <w:t xml:space="preserve">Environmental Planning and Assessment Regulation 2000, cll 3, 50, 55</w:t>
                </w:r>
                <w:r>
                  <w:br/>
                </w:r>
                <w:r>
                  <w:t xml:space="preserve">State Environmental Planning Policy (Building Sustainability Index: BASIX) 2004</w:t>
                </w:r>
                <w:r>
                  <w:br/>
                </w:r>
                <w:r>
                  <w:t xml:space="preserve">State Environmental Planning Policy (Resilience and Hazards) 2021</w:t>
                </w:r>
                <w:r>
                  <w:br/>
                </w:r>
                <w:r>
                  <w:t xml:space="preserve">State Environmental Planning Policy No 55—Remediation of Land, cl 7</w:t>
                </w:r>
                <w:r>
                  <w:br/>
                </w:r>
                <w:r>
                  <w:t xml:space="preserve">State Environmental Planning Policy No 65 – Design Quality of Residential Apartment Development, cll 28, 30</w:t>
                </w:r>
                <w:r>
                  <w:br/>
                </w:r>
                <w:r>
                  <w:t xml:space="preserve">State Environmental Planning Policy (Transport and Infrastructure) 2021, s 2.48</w:t>
                </w:r>
                <w:r>
                  <w:br/>
                </w:r>
                <w:r>
                  <w:t xml:space="preserve">Tweed City Centre Local Environmental Plan 2012, cll 2.7 4.3, 4.4, 6.1, 6.10</w:t>
                </w:r>
                <w:r>
                  <w:br/>
                </w:r>
                <w:r>
                  <w:t xml:space="preserve">Water Management Act 2000</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Toga Penrith Developments Pty Limited v Penrith City Council [2022] NSWLEC 117</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Apartment Design Guide</w:t>
                </w:r>
                <w:r>
                  <w:br/>
                </w:r>
                <w:r>
                  <w:t xml:space="preserve">Tweed Development Control Plan 2008</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Harry Ghamraoui (Applicant)</w:t>
                </w:r>
                <w:r>
                  <w:br/>
                </w:r>
                <w:r>
                  <w:t xml:space="preserve">Tweed Shire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A Pickles SC (Applicant)</w:t>
                </w:r>
                <w:r>
                  <w:br/>
                </w:r>
                <w:r>
                  <w:t xml:space="preserve">N Eastman (Respondent)</w:t>
                </w:r>
                <w:r>
                  <w:br/>
                </w:r>
                <w:r>
                  <w:t xml:space="preserve"/>
                </w:r>
                <w:r>
                  <w:br/>
                </w:r>
                <w:r>
                  <w:t xml:space="preserve">Solicitors:</w:t>
                </w:r>
                <w:r>
                  <w:br/>
                </w:r>
                <w:r>
                  <w:t xml:space="preserve">Conomos Legal (Applicant)</w:t>
                </w:r>
                <w:r>
                  <w:br/>
                </w:r>
                <w:r>
                  <w:t xml:space="preserve">Hall &amp; Wilcox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2021/ 333120</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xml:space="preserve">: </w:t>
      </w:r>
      <w:r>
        <w:rPr>
          <w:rFonts w:ascii="Arial"/>
          <w:color w:val="000000"/>
          <w:sz w:val="24"/>
        </w:rPr>
        <w:t>Residential</w:t>
      </w:r>
      <w:r>
        <w:rPr>
          <w:rFonts w:ascii="Arial"/>
          <w:color w:val="000000"/>
          <w:sz w:val="24"/>
        </w:rPr>
        <w:t xml:space="preserve"> </w:t>
      </w:r>
      <w:r>
        <w:rPr>
          <w:rFonts w:ascii="Arial"/>
          <w:color w:val="000000"/>
          <w:sz w:val="24"/>
        </w:rPr>
        <w:t xml:space="preserve">apartment development is proposed </w:t>
      </w:r>
      <w:r>
        <w:rPr>
          <w:rFonts w:ascii="Arial"/>
          <w:color w:val="000000"/>
          <w:sz w:val="24"/>
        </w:rPr>
        <w:t>on a site in Tweed Heads</w:t>
      </w:r>
      <w:r>
        <w:rPr>
          <w:rFonts w:ascii="Arial"/>
          <w:color w:val="000000"/>
          <w:sz w:val="24"/>
        </w:rPr>
        <w:t>, close to the border of New South Wales and Queensland</w:t>
      </w:r>
      <w:r>
        <w:rPr>
          <w:rFonts w:ascii="Arial"/>
          <w:color w:val="000000"/>
          <w:sz w:val="24"/>
        </w:rPr>
        <w:t>.</w:t>
      </w:r>
    </w:p>
    <w:p>
      <w:pPr>
        <w:pStyle w:val="CaselawNumbered10"/>
        <w:numPr>
          <w:ilvl w:val="0"/>
          <w:numId w:val="22"/>
        </w:numPr>
        <w:spacing w:before="150" w:after="0"/>
        <w:ind w:left="600" w:hanging="600"/>
      </w:pPr>
      <w:r>
        <w:rPr>
          <w:rFonts w:ascii="Arial"/>
          <w:color w:val="000000"/>
          <w:sz w:val="24"/>
        </w:rPr>
        <w:t xml:space="preserve">To this end, the Applicant in these proceedings lodged development application DA 21/0689 with the Tweed Shire Council </w:t>
      </w:r>
      <w:r>
        <w:rPr>
          <w:rFonts w:ascii="Arial"/>
          <w:color w:val="000000"/>
          <w:sz w:val="24"/>
        </w:rPr>
        <w:t xml:space="preserve">(the Respondent) </w:t>
      </w:r>
      <w:r>
        <w:rPr>
          <w:rFonts w:ascii="Arial"/>
          <w:color w:val="000000"/>
          <w:sz w:val="24"/>
        </w:rPr>
        <w:t xml:space="preserve">on </w:t>
      </w:r>
      <w:r>
        <w:rPr>
          <w:rFonts w:ascii="Arial"/>
          <w:color w:val="000000"/>
          <w:sz w:val="24"/>
        </w:rPr>
        <w:t>26 August 2021</w:t>
      </w:r>
      <w:r>
        <w:rPr>
          <w:rFonts w:ascii="Arial"/>
          <w:color w:val="000000"/>
          <w:sz w:val="24"/>
        </w:rPr>
        <w:t xml:space="preserve">, seeking consent for the demolition of existing buildings and the construction of a </w:t>
      </w:r>
      <w:r>
        <w:rPr>
          <w:rFonts w:ascii="Arial"/>
          <w:color w:val="000000"/>
          <w:sz w:val="24"/>
        </w:rPr>
        <w:t>12 storey</w:t>
      </w:r>
      <w:r>
        <w:rPr>
          <w:rFonts w:ascii="Arial"/>
          <w:color w:val="000000"/>
          <w:sz w:val="24"/>
        </w:rPr>
        <w:t xml:space="preserve"> </w:t>
      </w:r>
      <w:r>
        <w:rPr>
          <w:rFonts w:ascii="Arial"/>
          <w:color w:val="000000"/>
          <w:sz w:val="24"/>
        </w:rPr>
        <w:t>residential flat building containing 96 units and 3 levels of basement parking (in addition to 2 part levels), tree removal</w:t>
      </w:r>
      <w:r>
        <w:rPr>
          <w:rFonts w:ascii="Arial"/>
          <w:color w:val="000000"/>
          <w:sz w:val="24"/>
        </w:rPr>
        <w:t>, site consolidation</w:t>
      </w:r>
      <w:r>
        <w:rPr>
          <w:rFonts w:ascii="Arial"/>
          <w:color w:val="000000"/>
          <w:sz w:val="24"/>
        </w:rPr>
        <w:t xml:space="preserve"> </w:t>
      </w:r>
      <w:r>
        <w:rPr>
          <w:rFonts w:ascii="Arial"/>
          <w:color w:val="000000"/>
          <w:sz w:val="24"/>
        </w:rPr>
        <w:t>and strata subdivision</w:t>
      </w:r>
      <w:r>
        <w:rPr>
          <w:rFonts w:ascii="Arial"/>
          <w:color w:val="000000"/>
          <w:sz w:val="24"/>
        </w:rPr>
        <w:t>.</w:t>
      </w:r>
    </w:p>
    <w:p>
      <w:pPr>
        <w:pStyle w:val="CaselawNumbered10"/>
        <w:numPr>
          <w:ilvl w:val="0"/>
          <w:numId w:val="22"/>
        </w:numPr>
        <w:spacing w:before="150" w:after="0"/>
        <w:ind w:left="600" w:hanging="600"/>
      </w:pPr>
      <w:r>
        <w:rPr>
          <w:rFonts w:ascii="Arial"/>
          <w:color w:val="000000"/>
          <w:sz w:val="24"/>
        </w:rPr>
        <w:t xml:space="preserve">The development application was advertised and notified for </w:t>
      </w:r>
      <w:r>
        <w:rPr>
          <w:rFonts w:ascii="Arial"/>
          <w:color w:val="000000"/>
          <w:sz w:val="24"/>
        </w:rPr>
        <w:t xml:space="preserve">a period of </w:t>
      </w:r>
      <w:r>
        <w:rPr>
          <w:rFonts w:ascii="Arial"/>
          <w:color w:val="000000"/>
          <w:sz w:val="24"/>
        </w:rPr>
        <w:t>28 days from 29 September</w:t>
      </w:r>
      <w:r>
        <w:rPr>
          <w:rFonts w:ascii="Arial"/>
          <w:color w:val="000000"/>
          <w:sz w:val="24"/>
        </w:rPr>
        <w:t xml:space="preserve"> </w:t>
      </w:r>
      <w:r>
        <w:rPr>
          <w:rFonts w:ascii="Arial"/>
          <w:color w:val="000000"/>
          <w:sz w:val="24"/>
        </w:rPr>
        <w:t>to 27 October 2021.</w:t>
      </w:r>
      <w:r>
        <w:rPr>
          <w:rFonts w:ascii="Arial"/>
          <w:color w:val="000000"/>
          <w:sz w:val="24"/>
        </w:rPr>
        <w:t xml:space="preserve"> </w:t>
      </w:r>
      <w:r>
        <w:rPr>
          <w:rFonts w:ascii="Arial"/>
          <w:color w:val="000000"/>
          <w:sz w:val="24"/>
        </w:rPr>
        <w:t>Public submissions received in response are contained in the Respondent</w:t>
      </w:r>
      <w:r>
        <w:rPr>
          <w:rFonts w:ascii="Arial"/>
          <w:color w:val="000000"/>
          <w:sz w:val="24"/>
        </w:rPr>
        <w:t>’</w:t>
      </w:r>
      <w:r>
        <w:rPr>
          <w:rFonts w:ascii="Arial"/>
          <w:color w:val="000000"/>
          <w:sz w:val="24"/>
        </w:rPr>
        <w:t>s bundle (Exhibit 2, Tabs 10-</w:t>
      </w:r>
      <w:r>
        <w:rPr>
          <w:rFonts w:ascii="Arial"/>
          <w:color w:val="000000"/>
          <w:sz w:val="24"/>
        </w:rPr>
        <w:t>38).</w:t>
      </w:r>
    </w:p>
    <w:p>
      <w:pPr>
        <w:pStyle w:val="CaselawNumbered10"/>
        <w:numPr>
          <w:ilvl w:val="0"/>
          <w:numId w:val="22"/>
        </w:numPr>
        <w:spacing w:before="150" w:after="0"/>
        <w:ind w:left="600" w:hanging="600"/>
      </w:pPr>
      <w:r>
        <w:rPr>
          <w:rFonts w:ascii="Arial"/>
          <w:color w:val="000000"/>
          <w:sz w:val="24"/>
        </w:rPr>
        <w:t xml:space="preserve">On 24 November 2022, the Applicant appealed the deemed refusal of the development application under </w:t>
      </w:r>
      <w:r>
        <w:rPr>
          <w:rFonts w:ascii="Arial"/>
          <w:color w:val="000000"/>
          <w:sz w:val="24"/>
        </w:rPr>
        <w:t>s 8.7</w:t>
      </w:r>
      <w:r>
        <w:rPr>
          <w:rFonts w:ascii="Arial"/>
          <w:color w:val="000000"/>
          <w:sz w:val="24"/>
        </w:rPr>
        <w:t xml:space="preserve"> </w:t>
      </w:r>
      <w:r>
        <w:rPr>
          <w:rFonts w:ascii="Arial"/>
          <w:color w:val="000000"/>
          <w:sz w:val="24"/>
        </w:rPr>
        <w:t xml:space="preserve">of the </w:t>
      </w:r>
      <w:r>
        <w:rPr>
          <w:rFonts w:ascii="Arial"/>
          <w:i/>
          <w:color w:val="000000"/>
          <w:sz w:val="24"/>
        </w:rPr>
        <w:t>Environmental Planning and Assessment Act 1979</w:t>
      </w:r>
      <w:r>
        <w:rPr>
          <w:rFonts w:ascii="Arial"/>
          <w:color w:val="000000"/>
          <w:sz w:val="24"/>
        </w:rPr>
        <w:t xml:space="preserve"> </w:t>
      </w:r>
      <w:r>
        <w:rPr>
          <w:rFonts w:ascii="Arial"/>
          <w:color w:val="000000"/>
          <w:sz w:val="24"/>
        </w:rPr>
        <w:t>(EPA Act).</w:t>
      </w:r>
    </w:p>
    <w:p>
      <w:pPr>
        <w:pStyle w:val="CaselawNumbered10"/>
        <w:numPr>
          <w:ilvl w:val="0"/>
          <w:numId w:val="22"/>
        </w:numPr>
        <w:spacing w:before="150" w:after="0"/>
        <w:ind w:left="600" w:hanging="600"/>
      </w:pPr>
      <w:r>
        <w:rPr>
          <w:rFonts w:ascii="Arial"/>
          <w:color w:val="000000"/>
          <w:sz w:val="24"/>
        </w:rPr>
        <w:t xml:space="preserve">The Applicant was granted leave to rely upon amended plans and other documents on </w:t>
      </w:r>
      <w:r>
        <w:rPr>
          <w:rFonts w:ascii="Arial"/>
          <w:color w:val="000000"/>
          <w:sz w:val="24"/>
        </w:rPr>
        <w:t>three</w:t>
      </w:r>
      <w:r>
        <w:rPr>
          <w:rFonts w:ascii="Arial"/>
          <w:color w:val="000000"/>
          <w:sz w:val="24"/>
        </w:rPr>
        <w:t xml:space="preserve"> </w:t>
      </w:r>
      <w:r>
        <w:rPr>
          <w:rFonts w:ascii="Arial"/>
          <w:color w:val="000000"/>
          <w:sz w:val="24"/>
        </w:rPr>
        <w:t>occasions prior to this hearing</w:t>
      </w:r>
      <w:r>
        <w:rPr>
          <w:rFonts w:ascii="Arial"/>
          <w:color w:val="000000"/>
          <w:sz w:val="24"/>
        </w:rPr>
        <w:t xml:space="preserve">, the effect of which is that </w:t>
      </w:r>
      <w:r>
        <w:rPr>
          <w:rFonts w:ascii="Arial"/>
          <w:color w:val="000000"/>
          <w:sz w:val="24"/>
        </w:rPr>
        <w:t>all contentions originally pressed by the Respondent are resolved</w:t>
      </w:r>
      <w:r>
        <w:rPr>
          <w:rFonts w:ascii="Arial"/>
          <w:color w:val="000000"/>
          <w:sz w:val="24"/>
        </w:rPr>
        <w:t xml:space="preserve">. </w:t>
      </w:r>
    </w:p>
    <w:p>
      <w:pPr>
        <w:pStyle w:val="CaselawNumbered10"/>
        <w:numPr>
          <w:ilvl w:val="0"/>
          <w:numId w:val="22"/>
        </w:numPr>
        <w:spacing w:before="150" w:after="0"/>
        <w:ind w:left="600" w:hanging="600"/>
      </w:pPr>
      <w:r>
        <w:rPr>
          <w:rFonts w:ascii="Arial"/>
          <w:color w:val="000000"/>
          <w:sz w:val="24"/>
        </w:rPr>
        <w:t xml:space="preserve">The amended application was renotified by the Respondent to residents in the area between </w:t>
      </w:r>
      <w:r>
        <w:rPr>
          <w:rFonts w:ascii="Arial"/>
          <w:color w:val="000000"/>
          <w:sz w:val="24"/>
        </w:rPr>
        <w:t>27 July 2022 and 24 August 2022.</w:t>
      </w:r>
      <w:r>
        <w:rPr>
          <w:rFonts w:ascii="Arial"/>
          <w:color w:val="000000"/>
          <w:sz w:val="24"/>
        </w:rPr>
        <w:t xml:space="preserve"> </w:t>
      </w:r>
      <w:r>
        <w:rPr>
          <w:rFonts w:ascii="Arial"/>
          <w:color w:val="000000"/>
          <w:sz w:val="24"/>
        </w:rPr>
        <w:t>Public submissions received in response are contained in the Respondent</w:t>
      </w:r>
      <w:r>
        <w:rPr>
          <w:rFonts w:ascii="Arial"/>
          <w:color w:val="000000"/>
          <w:sz w:val="24"/>
        </w:rPr>
        <w:t>’</w:t>
      </w:r>
      <w:r>
        <w:rPr>
          <w:rFonts w:ascii="Arial"/>
          <w:color w:val="000000"/>
          <w:sz w:val="24"/>
        </w:rPr>
        <w:t xml:space="preserve">s bundle (Exhibit 2, Tabs </w:t>
      </w:r>
      <w:r>
        <w:rPr>
          <w:rFonts w:ascii="Arial"/>
          <w:color w:val="000000"/>
          <w:sz w:val="24"/>
        </w:rPr>
        <w:t>39-43).</w:t>
      </w:r>
    </w:p>
    <w:p>
      <w:pPr>
        <w:pStyle w:val="CaselawNumbered10"/>
        <w:numPr>
          <w:ilvl w:val="0"/>
          <w:numId w:val="22"/>
        </w:numPr>
        <w:spacing w:before="150" w:after="0"/>
        <w:ind w:left="600" w:hanging="600"/>
      </w:pPr>
      <w:r>
        <w:rPr>
          <w:rFonts w:ascii="Arial"/>
          <w:color w:val="000000"/>
          <w:sz w:val="24"/>
        </w:rPr>
        <w:t xml:space="preserve">The Respondent </w:t>
      </w:r>
      <w:r>
        <w:rPr>
          <w:rFonts w:ascii="Arial"/>
          <w:color w:val="000000"/>
          <w:sz w:val="24"/>
        </w:rPr>
        <w:t>advises of the resolution of the contentions by reference to</w:t>
      </w:r>
      <w:r>
        <w:rPr>
          <w:rFonts w:ascii="Arial"/>
          <w:color w:val="000000"/>
          <w:sz w:val="24"/>
        </w:rPr>
        <w:t xml:space="preserve"> </w:t>
      </w:r>
      <w:r>
        <w:rPr>
          <w:rFonts w:ascii="Arial"/>
          <w:color w:val="000000"/>
          <w:sz w:val="24"/>
        </w:rPr>
        <w:t xml:space="preserve">the following </w:t>
      </w:r>
      <w:r>
        <w:rPr>
          <w:rFonts w:ascii="Arial"/>
          <w:color w:val="000000"/>
          <w:sz w:val="24"/>
        </w:rPr>
        <w:t>joint expert repor</w:t>
      </w:r>
      <w:r>
        <w:rPr>
          <w:rFonts w:ascii="Arial"/>
          <w:color w:val="000000"/>
          <w:sz w:val="24"/>
        </w:rPr>
        <w:t>ts:</w:t>
      </w:r>
    </w:p>
    <w:p>
      <w:pPr>
        <w:pStyle w:val="CaselawNumbered1"/>
        <w:numPr>
          <w:ilvl w:val="0"/>
          <w:numId w:val="23"/>
        </w:numPr>
        <w:spacing w:before="150" w:after="0"/>
        <w:ind w:left="1350" w:hanging="750"/>
      </w:pPr>
      <w:r>
        <w:rPr>
          <w:rFonts w:ascii="Arial"/>
          <w:color w:val="000000"/>
          <w:sz w:val="24"/>
        </w:rPr>
        <w:t xml:space="preserve">In respect of </w:t>
      </w:r>
      <w:r>
        <w:rPr>
          <w:rFonts w:ascii="Arial"/>
          <w:color w:val="000000"/>
          <w:sz w:val="24"/>
        </w:rPr>
        <w:t>Traffic</w:t>
      </w:r>
      <w:r>
        <w:rPr>
          <w:rFonts w:ascii="Arial"/>
          <w:color w:val="000000"/>
          <w:sz w:val="24"/>
        </w:rPr>
        <w:t xml:space="preserve"> </w:t>
      </w:r>
      <w:r>
        <w:rPr>
          <w:rFonts w:ascii="Arial"/>
          <w:color w:val="000000"/>
          <w:sz w:val="24"/>
        </w:rPr>
        <w:t>and parking</w:t>
      </w:r>
      <w:r>
        <w:rPr>
          <w:rFonts w:ascii="Arial"/>
          <w:color w:val="000000"/>
          <w:sz w:val="24"/>
        </w:rPr>
        <w:t xml:space="preserve">: </w:t>
      </w:r>
      <w:r>
        <w:rPr>
          <w:rFonts w:ascii="Arial"/>
          <w:color w:val="000000"/>
          <w:sz w:val="24"/>
        </w:rPr>
        <w:t>Mr Craig</w:t>
      </w:r>
      <w:r>
        <w:rPr>
          <w:rFonts w:ascii="Arial"/>
          <w:color w:val="000000"/>
          <w:sz w:val="24"/>
        </w:rPr>
        <w:t xml:space="preserve"> </w:t>
      </w:r>
      <w:r>
        <w:rPr>
          <w:rFonts w:ascii="Arial"/>
          <w:color w:val="000000"/>
          <w:sz w:val="24"/>
        </w:rPr>
        <w:t>McLaren for the R</w:t>
      </w:r>
      <w:r>
        <w:rPr>
          <w:rFonts w:ascii="Arial"/>
          <w:color w:val="000000"/>
          <w:sz w:val="24"/>
        </w:rPr>
        <w:t>espondent</w:t>
      </w:r>
      <w:r>
        <w:rPr>
          <w:rFonts w:ascii="Arial"/>
          <w:color w:val="000000"/>
          <w:sz w:val="24"/>
        </w:rPr>
        <w:t>,</w:t>
      </w:r>
      <w:r>
        <w:rPr>
          <w:rFonts w:ascii="Arial"/>
          <w:color w:val="000000"/>
          <w:sz w:val="24"/>
        </w:rPr>
        <w:t xml:space="preserve"> </w:t>
      </w:r>
      <w:r>
        <w:rPr>
          <w:rFonts w:ascii="Arial"/>
          <w:color w:val="000000"/>
          <w:sz w:val="24"/>
        </w:rPr>
        <w:t>and Mr</w:t>
      </w:r>
      <w:r>
        <w:rPr>
          <w:rFonts w:ascii="Arial"/>
          <w:color w:val="000000"/>
          <w:sz w:val="24"/>
        </w:rPr>
        <w:t xml:space="preserve"> </w:t>
      </w:r>
      <w:r>
        <w:rPr>
          <w:rFonts w:ascii="Arial"/>
          <w:color w:val="000000"/>
          <w:sz w:val="24"/>
        </w:rPr>
        <w:t xml:space="preserve">Thomas Yang for </w:t>
      </w:r>
      <w:r>
        <w:rPr>
          <w:rFonts w:ascii="Arial"/>
          <w:color w:val="000000"/>
          <w:sz w:val="24"/>
        </w:rPr>
        <w:t>the Applicant.</w:t>
      </w:r>
      <w:r>
        <w:rPr>
          <w:rFonts w:ascii="Arial"/>
          <w:color w:val="000000"/>
          <w:sz w:val="24"/>
        </w:rPr>
        <w:t xml:space="preserve"> </w:t>
      </w:r>
      <w:r>
        <w:rPr>
          <w:rFonts w:ascii="Arial"/>
          <w:color w:val="000000"/>
          <w:sz w:val="24"/>
        </w:rPr>
        <w:t xml:space="preserve">(Exhibit </w:t>
      </w:r>
      <w:r>
        <w:rPr>
          <w:rFonts w:ascii="Arial"/>
          <w:color w:val="000000"/>
          <w:sz w:val="24"/>
        </w:rPr>
        <w:t>3</w:t>
      </w:r>
      <w:r>
        <w:rPr>
          <w:rFonts w:ascii="Arial"/>
          <w:color w:val="000000"/>
          <w:sz w:val="24"/>
        </w:rPr>
        <w:t xml:space="preserve"> </w:t>
      </w:r>
      <w:r>
        <w:rPr>
          <w:rFonts w:ascii="Arial"/>
          <w:color w:val="000000"/>
          <w:sz w:val="24"/>
        </w:rPr>
        <w:t>and Exhibit 11)</w:t>
      </w:r>
    </w:p>
    <w:p>
      <w:pPr>
        <w:pStyle w:val="CaselawNumbered1"/>
        <w:numPr>
          <w:ilvl w:val="0"/>
          <w:numId w:val="23"/>
        </w:numPr>
        <w:spacing w:before="150" w:after="0"/>
        <w:ind w:left="1350" w:hanging="750"/>
      </w:pPr>
      <w:r>
        <w:rPr>
          <w:rFonts w:ascii="Arial"/>
          <w:color w:val="000000"/>
          <w:sz w:val="24"/>
        </w:rPr>
        <w:t xml:space="preserve">In respect of </w:t>
      </w:r>
      <w:r>
        <w:rPr>
          <w:rFonts w:ascii="Arial"/>
          <w:color w:val="000000"/>
          <w:sz w:val="24"/>
        </w:rPr>
        <w:t>Geotechnical</w:t>
      </w:r>
      <w:r>
        <w:rPr>
          <w:rFonts w:ascii="Arial"/>
          <w:color w:val="000000"/>
          <w:sz w:val="24"/>
        </w:rPr>
        <w:t xml:space="preserve"> </w:t>
      </w:r>
      <w:r>
        <w:rPr>
          <w:rFonts w:ascii="Arial"/>
          <w:color w:val="000000"/>
          <w:sz w:val="24"/>
        </w:rPr>
        <w:t>engineering</w:t>
      </w:r>
      <w:r>
        <w:rPr>
          <w:rFonts w:ascii="Arial"/>
          <w:color w:val="000000"/>
          <w:sz w:val="24"/>
        </w:rPr>
        <w:t>: D</w:t>
      </w:r>
      <w:r>
        <w:rPr>
          <w:rFonts w:ascii="Arial"/>
          <w:color w:val="000000"/>
          <w:sz w:val="24"/>
        </w:rPr>
        <w:t>r Daniel</w:t>
      </w:r>
      <w:r>
        <w:rPr>
          <w:rFonts w:ascii="Arial"/>
          <w:color w:val="000000"/>
          <w:sz w:val="24"/>
        </w:rPr>
        <w:t xml:space="preserve"> </w:t>
      </w:r>
      <w:r>
        <w:rPr>
          <w:rFonts w:ascii="Arial"/>
          <w:color w:val="000000"/>
          <w:sz w:val="24"/>
        </w:rPr>
        <w:t xml:space="preserve">Martens for </w:t>
      </w:r>
      <w:r>
        <w:rPr>
          <w:rFonts w:ascii="Arial"/>
          <w:color w:val="000000"/>
          <w:sz w:val="24"/>
        </w:rPr>
        <w:t xml:space="preserve">the </w:t>
      </w:r>
      <w:r>
        <w:rPr>
          <w:rFonts w:ascii="Arial"/>
          <w:color w:val="000000"/>
          <w:sz w:val="24"/>
        </w:rPr>
        <w:t>R</w:t>
      </w:r>
      <w:r>
        <w:rPr>
          <w:rFonts w:ascii="Arial"/>
          <w:color w:val="000000"/>
          <w:sz w:val="24"/>
        </w:rPr>
        <w:t>espondent</w:t>
      </w:r>
      <w:r>
        <w:rPr>
          <w:rFonts w:ascii="Arial"/>
          <w:color w:val="000000"/>
          <w:sz w:val="24"/>
        </w:rPr>
        <w:t xml:space="preserve">, and </w:t>
      </w:r>
      <w:r>
        <w:rPr>
          <w:rFonts w:ascii="Arial"/>
          <w:color w:val="000000"/>
          <w:sz w:val="24"/>
        </w:rPr>
        <w:t xml:space="preserve">Mr </w:t>
      </w:r>
      <w:r>
        <w:rPr>
          <w:rFonts w:ascii="Arial"/>
          <w:color w:val="000000"/>
          <w:sz w:val="24"/>
        </w:rPr>
        <w:t xml:space="preserve">Sam Haddad for </w:t>
      </w:r>
      <w:r>
        <w:rPr>
          <w:rFonts w:ascii="Arial"/>
          <w:color w:val="000000"/>
          <w:sz w:val="24"/>
        </w:rPr>
        <w:t xml:space="preserve">the Applicant. (Exhibit </w:t>
      </w:r>
      <w:r>
        <w:rPr>
          <w:rFonts w:ascii="Arial"/>
          <w:color w:val="000000"/>
          <w:sz w:val="24"/>
        </w:rPr>
        <w:t>4)</w:t>
      </w:r>
    </w:p>
    <w:p>
      <w:pPr>
        <w:pStyle w:val="CaselawNumbered1"/>
        <w:numPr>
          <w:ilvl w:val="0"/>
          <w:numId w:val="23"/>
        </w:numPr>
        <w:spacing w:before="150" w:after="0"/>
        <w:ind w:left="1350" w:hanging="750"/>
      </w:pPr>
      <w:r>
        <w:rPr>
          <w:rFonts w:ascii="Arial"/>
          <w:color w:val="000000"/>
          <w:sz w:val="24"/>
        </w:rPr>
        <w:t>In respect of Stormwater</w:t>
      </w:r>
      <w:r>
        <w:rPr>
          <w:rFonts w:ascii="Arial"/>
          <w:color w:val="000000"/>
          <w:sz w:val="24"/>
        </w:rPr>
        <w:t xml:space="preserve">: </w:t>
      </w:r>
      <w:r>
        <w:rPr>
          <w:rFonts w:ascii="Arial"/>
          <w:color w:val="000000"/>
          <w:sz w:val="24"/>
        </w:rPr>
        <w:t xml:space="preserve">Dr Daniel Martens for the Respondent, and Mr Sam Haddad for the Applicant. (Exhibit </w:t>
      </w:r>
      <w:r>
        <w:rPr>
          <w:rFonts w:ascii="Arial"/>
          <w:color w:val="000000"/>
          <w:sz w:val="24"/>
        </w:rPr>
        <w:t>5).</w:t>
      </w:r>
    </w:p>
    <w:p>
      <w:pPr>
        <w:pStyle w:val="CaselawNumbered1"/>
        <w:numPr>
          <w:ilvl w:val="0"/>
          <w:numId w:val="23"/>
        </w:numPr>
        <w:spacing w:before="150" w:after="0"/>
        <w:ind w:left="1350" w:hanging="750"/>
      </w:pPr>
      <w:r>
        <w:rPr>
          <w:rFonts w:ascii="Arial"/>
          <w:color w:val="000000"/>
          <w:sz w:val="24"/>
        </w:rPr>
        <w:t xml:space="preserve">In respect of Waste: Mr Wesley Knight for the Respondent, and Mr Eddy </w:t>
      </w:r>
      <w:r>
        <w:rPr>
          <w:rFonts w:ascii="Arial"/>
          <w:color w:val="000000"/>
          <w:sz w:val="24"/>
        </w:rPr>
        <w:t>Saidi</w:t>
      </w:r>
      <w:r>
        <w:rPr>
          <w:rFonts w:ascii="Arial"/>
          <w:color w:val="000000"/>
          <w:sz w:val="24"/>
        </w:rPr>
        <w:t xml:space="preserve"> </w:t>
      </w:r>
      <w:r>
        <w:rPr>
          <w:rFonts w:ascii="Arial"/>
          <w:color w:val="000000"/>
          <w:sz w:val="24"/>
        </w:rPr>
        <w:t>for the Applicant. (Exhibit 6)</w:t>
      </w:r>
    </w:p>
    <w:p>
      <w:pPr>
        <w:pStyle w:val="CaselawNumbered1"/>
        <w:numPr>
          <w:ilvl w:val="0"/>
          <w:numId w:val="23"/>
        </w:numPr>
        <w:spacing w:before="150" w:after="0"/>
        <w:ind w:left="1350" w:hanging="750"/>
      </w:pPr>
      <w:r>
        <w:rPr>
          <w:rFonts w:ascii="Arial"/>
          <w:color w:val="000000"/>
          <w:sz w:val="24"/>
        </w:rPr>
        <w:t>In respect of Water and Sewer engineering:</w:t>
      </w:r>
      <w:r>
        <w:rPr>
          <w:rFonts w:ascii="Arial"/>
          <w:color w:val="000000"/>
          <w:sz w:val="24"/>
        </w:rPr>
        <w:t xml:space="preserve"> </w:t>
      </w:r>
      <w:r>
        <w:rPr>
          <w:rFonts w:ascii="Arial"/>
          <w:color w:val="000000"/>
          <w:sz w:val="24"/>
        </w:rPr>
        <w:t xml:space="preserve">Mr </w:t>
      </w:r>
      <w:r>
        <w:rPr>
          <w:rFonts w:ascii="Arial"/>
          <w:color w:val="000000"/>
          <w:sz w:val="24"/>
        </w:rPr>
        <w:t>Nicholas Darwin for the Respondent, and Mr Sam Haddad for the Applicant.</w:t>
      </w:r>
      <w:r>
        <w:rPr>
          <w:rFonts w:ascii="Arial"/>
          <w:color w:val="000000"/>
          <w:sz w:val="24"/>
        </w:rPr>
        <w:t xml:space="preserve"> </w:t>
      </w:r>
      <w:r>
        <w:rPr>
          <w:rFonts w:ascii="Arial"/>
          <w:color w:val="000000"/>
          <w:sz w:val="24"/>
        </w:rPr>
        <w:t>(Exhibit 7)</w:t>
      </w:r>
    </w:p>
    <w:p>
      <w:pPr>
        <w:pStyle w:val="CaselawNumbered1"/>
        <w:numPr>
          <w:ilvl w:val="0"/>
          <w:numId w:val="23"/>
        </w:numPr>
        <w:spacing w:before="150" w:after="0"/>
        <w:ind w:left="1350" w:hanging="750"/>
      </w:pPr>
      <w:r>
        <w:rPr>
          <w:rFonts w:ascii="Arial"/>
          <w:color w:val="000000"/>
          <w:sz w:val="24"/>
        </w:rPr>
        <w:t xml:space="preserve">In respect of town planning, urban </w:t>
      </w:r>
      <w:r>
        <w:rPr>
          <w:rFonts w:ascii="Arial"/>
          <w:color w:val="000000"/>
          <w:sz w:val="24"/>
        </w:rPr>
        <w:t>design</w:t>
      </w:r>
      <w:r>
        <w:rPr>
          <w:rFonts w:ascii="Arial"/>
          <w:color w:val="000000"/>
          <w:sz w:val="24"/>
        </w:rPr>
        <w:t xml:space="preserve"> </w:t>
      </w:r>
      <w:r>
        <w:rPr>
          <w:rFonts w:ascii="Arial"/>
          <w:color w:val="000000"/>
          <w:sz w:val="24"/>
        </w:rPr>
        <w:t xml:space="preserve">and view sharing: Ms Gabrielle </w:t>
      </w:r>
      <w:r>
        <w:rPr>
          <w:rFonts w:ascii="Arial"/>
          <w:color w:val="000000"/>
          <w:sz w:val="24"/>
        </w:rPr>
        <w:t>Morrish</w:t>
      </w:r>
      <w:r>
        <w:rPr>
          <w:rFonts w:ascii="Arial"/>
          <w:color w:val="000000"/>
          <w:sz w:val="24"/>
        </w:rPr>
        <w:t xml:space="preserve"> </w:t>
      </w:r>
      <w:r>
        <w:rPr>
          <w:rFonts w:ascii="Arial"/>
          <w:color w:val="000000"/>
          <w:sz w:val="24"/>
        </w:rPr>
        <w:t xml:space="preserve">and Mr Jeff Mead for the Respondent, and Mr Ben </w:t>
      </w:r>
      <w:r>
        <w:rPr>
          <w:rFonts w:ascii="Arial"/>
          <w:color w:val="000000"/>
          <w:sz w:val="24"/>
        </w:rPr>
        <w:t>Tesorieiro</w:t>
      </w:r>
      <w:r>
        <w:rPr>
          <w:rFonts w:ascii="Arial"/>
          <w:color w:val="000000"/>
          <w:sz w:val="24"/>
        </w:rPr>
        <w:t xml:space="preserve"> </w:t>
      </w:r>
      <w:r>
        <w:rPr>
          <w:rFonts w:ascii="Arial"/>
          <w:color w:val="000000"/>
          <w:sz w:val="24"/>
        </w:rPr>
        <w:t>and Mr Alan Cadogan and Dr Richard Lamb for the Applicant. (Exhibit 8)</w:t>
      </w:r>
    </w:p>
    <w:p>
      <w:pPr>
        <w:pStyle w:val="CaselawNumbered10"/>
        <w:numPr>
          <w:ilvl w:val="0"/>
          <w:numId w:val="24"/>
        </w:numPr>
        <w:spacing w:before="150" w:after="0"/>
        <w:ind w:left="600" w:hanging="600"/>
      </w:pPr>
      <w:r>
        <w:rPr>
          <w:rFonts w:ascii="Arial"/>
          <w:color w:val="000000"/>
          <w:sz w:val="24"/>
        </w:rPr>
        <w:t xml:space="preserve">It is relevant to record here that </w:t>
      </w:r>
      <w:r>
        <w:rPr>
          <w:rFonts w:ascii="Arial"/>
          <w:color w:val="000000"/>
          <w:sz w:val="24"/>
        </w:rPr>
        <w:t xml:space="preserve">the </w:t>
      </w:r>
      <w:r>
        <w:rPr>
          <w:rFonts w:ascii="Arial"/>
          <w:color w:val="000000"/>
          <w:sz w:val="24"/>
        </w:rPr>
        <w:t>Applicant characterise</w:t>
      </w:r>
      <w:r>
        <w:rPr>
          <w:rFonts w:ascii="Arial"/>
          <w:color w:val="000000"/>
          <w:sz w:val="24"/>
        </w:rPr>
        <w:t>d</w:t>
      </w:r>
      <w:r>
        <w:rPr>
          <w:rFonts w:ascii="Arial"/>
          <w:color w:val="000000"/>
          <w:sz w:val="24"/>
        </w:rPr>
        <w:t xml:space="preserve"> </w:t>
      </w:r>
      <w:r>
        <w:rPr>
          <w:rFonts w:ascii="Arial"/>
          <w:color w:val="000000"/>
          <w:sz w:val="24"/>
        </w:rPr>
        <w:t xml:space="preserve">the amendments contained in the Notice of Motion filed with the Court on </w:t>
      </w:r>
      <w:r>
        <w:rPr>
          <w:rFonts w:ascii="Arial"/>
          <w:color w:val="000000"/>
          <w:sz w:val="24"/>
        </w:rPr>
        <w:t>2 September</w:t>
      </w:r>
      <w:r>
        <w:rPr>
          <w:rFonts w:ascii="Arial"/>
          <w:color w:val="000000"/>
          <w:sz w:val="24"/>
        </w:rPr>
        <w:t xml:space="preserve"> </w:t>
      </w:r>
      <w:r>
        <w:rPr>
          <w:rFonts w:ascii="Arial"/>
          <w:color w:val="000000"/>
          <w:sz w:val="24"/>
        </w:rPr>
        <w:t>2022</w:t>
      </w:r>
      <w:r>
        <w:rPr>
          <w:rFonts w:ascii="Arial"/>
          <w:color w:val="000000"/>
          <w:sz w:val="24"/>
        </w:rPr>
        <w:t xml:space="preserve"> </w:t>
      </w:r>
      <w:r>
        <w:rPr>
          <w:rFonts w:ascii="Arial"/>
          <w:color w:val="000000"/>
          <w:sz w:val="24"/>
        </w:rPr>
        <w:t>as</w:t>
      </w:r>
      <w:r>
        <w:rPr>
          <w:rFonts w:ascii="Arial"/>
          <w:color w:val="000000"/>
          <w:sz w:val="24"/>
        </w:rPr>
        <w:t xml:space="preserve"> </w:t>
      </w:r>
      <w:r>
        <w:rPr>
          <w:rFonts w:ascii="Arial"/>
          <w:color w:val="000000"/>
          <w:sz w:val="24"/>
        </w:rPr>
        <w:t>being responsive to</w:t>
      </w:r>
      <w:r>
        <w:rPr>
          <w:rFonts w:ascii="Arial"/>
          <w:color w:val="000000"/>
          <w:sz w:val="24"/>
        </w:rPr>
        <w:t xml:space="preserve"> </w:t>
      </w:r>
      <w:r>
        <w:rPr>
          <w:rFonts w:ascii="Arial"/>
          <w:color w:val="000000"/>
          <w:sz w:val="24"/>
        </w:rPr>
        <w:t>those amendments agreed by the respective expe</w:t>
      </w:r>
      <w:r>
        <w:rPr>
          <w:rFonts w:ascii="Arial"/>
          <w:color w:val="000000"/>
          <w:sz w:val="24"/>
        </w:rPr>
        <w:t xml:space="preserve">rts in the </w:t>
      </w:r>
      <w:r>
        <w:rPr>
          <w:rFonts w:ascii="Arial"/>
          <w:color w:val="000000"/>
          <w:sz w:val="24"/>
        </w:rPr>
        <w:t xml:space="preserve">joint expert reports </w:t>
      </w:r>
      <w:r>
        <w:rPr>
          <w:rFonts w:ascii="Arial"/>
          <w:color w:val="000000"/>
          <w:sz w:val="24"/>
        </w:rPr>
        <w:t xml:space="preserve">which, if adopted, would resolve the relevant issues in dispute. </w:t>
      </w:r>
    </w:p>
    <w:p>
      <w:pPr>
        <w:pStyle w:val="CaselawNumbered10"/>
        <w:numPr>
          <w:ilvl w:val="0"/>
          <w:numId w:val="24"/>
        </w:numPr>
        <w:spacing w:before="150" w:after="0"/>
        <w:ind w:left="600" w:hanging="600"/>
      </w:pPr>
      <w:r>
        <w:rPr>
          <w:rFonts w:ascii="Arial"/>
          <w:color w:val="000000"/>
          <w:sz w:val="24"/>
        </w:rPr>
        <w:t>However, in respect of traffic, Mr McLaren</w:t>
      </w:r>
      <w:r>
        <w:rPr>
          <w:rFonts w:ascii="Arial"/>
          <w:color w:val="000000"/>
          <w:sz w:val="24"/>
        </w:rPr>
        <w:t xml:space="preserve"> </w:t>
      </w:r>
      <w:r>
        <w:rPr>
          <w:rFonts w:ascii="Arial"/>
          <w:color w:val="000000"/>
          <w:sz w:val="24"/>
        </w:rPr>
        <w:t xml:space="preserve">considered certain particulars unresolved, pending </w:t>
      </w:r>
      <w:r>
        <w:rPr>
          <w:rFonts w:ascii="Arial"/>
          <w:color w:val="000000"/>
          <w:sz w:val="24"/>
        </w:rPr>
        <w:t xml:space="preserve">the provision of further detail. As the Court was uncertain as to </w:t>
      </w:r>
      <w:r>
        <w:rPr>
          <w:rFonts w:ascii="Arial"/>
          <w:color w:val="000000"/>
          <w:sz w:val="24"/>
        </w:rPr>
        <w:t xml:space="preserve">whether additional detail now resolved the traffic contentions </w:t>
      </w:r>
      <w:r>
        <w:rPr>
          <w:rFonts w:ascii="Arial"/>
          <w:color w:val="000000"/>
          <w:sz w:val="24"/>
        </w:rPr>
        <w:t>entirely, the experts</w:t>
      </w:r>
      <w:r>
        <w:rPr>
          <w:rFonts w:ascii="Arial"/>
          <w:color w:val="000000"/>
          <w:sz w:val="24"/>
        </w:rPr>
        <w:t xml:space="preserve"> </w:t>
      </w:r>
      <w:r>
        <w:rPr>
          <w:rFonts w:ascii="Arial"/>
          <w:color w:val="000000"/>
          <w:sz w:val="24"/>
        </w:rPr>
        <w:t>were directed</w:t>
      </w:r>
      <w:r>
        <w:rPr>
          <w:rFonts w:ascii="Arial"/>
          <w:color w:val="000000"/>
          <w:sz w:val="24"/>
        </w:rPr>
        <w:t xml:space="preserve"> </w:t>
      </w:r>
      <w:r>
        <w:rPr>
          <w:rFonts w:ascii="Arial"/>
          <w:color w:val="000000"/>
          <w:sz w:val="24"/>
        </w:rPr>
        <w:t>to confer and prepare a short supplementary report, tendered on the second day of the hearing (Exhibit 11)</w:t>
      </w:r>
      <w:r>
        <w:rPr>
          <w:rFonts w:ascii="Arial"/>
          <w:color w:val="000000"/>
          <w:sz w:val="24"/>
        </w:rPr>
        <w:t>, and which confirmed resolution of all matters in dispute.</w:t>
      </w:r>
    </w:p>
    <w:p>
      <w:pPr>
        <w:pStyle w:val="CaselawNumbered10"/>
        <w:numPr>
          <w:ilvl w:val="0"/>
          <w:numId w:val="24"/>
        </w:numPr>
        <w:spacing w:before="150" w:after="0"/>
        <w:ind w:left="600" w:hanging="600"/>
      </w:pPr>
      <w:r>
        <w:rPr>
          <w:rFonts w:ascii="Arial"/>
          <w:color w:val="000000"/>
          <w:sz w:val="24"/>
        </w:rPr>
        <w:t xml:space="preserve">While the contentions pressed by the Respondent in the Amended Statement of Facts and </w:t>
      </w:r>
      <w:r>
        <w:rPr>
          <w:rFonts w:ascii="Arial"/>
          <w:color w:val="000000"/>
          <w:sz w:val="24"/>
        </w:rPr>
        <w:t>Contentions</w:t>
      </w:r>
      <w:r>
        <w:rPr>
          <w:rFonts w:ascii="Arial"/>
          <w:color w:val="000000"/>
          <w:sz w:val="24"/>
        </w:rPr>
        <w:t xml:space="preserve"> </w:t>
      </w:r>
      <w:r>
        <w:rPr>
          <w:rFonts w:ascii="Arial"/>
          <w:color w:val="000000"/>
          <w:sz w:val="24"/>
        </w:rPr>
        <w:t>(Exhibit 1)</w:t>
      </w:r>
      <w:r>
        <w:rPr>
          <w:rFonts w:ascii="Arial"/>
          <w:color w:val="000000"/>
          <w:sz w:val="24"/>
        </w:rPr>
        <w:t xml:space="preserve">, </w:t>
      </w:r>
      <w:r>
        <w:rPr>
          <w:rFonts w:ascii="Arial"/>
          <w:color w:val="000000"/>
          <w:sz w:val="24"/>
        </w:rPr>
        <w:t xml:space="preserve">are resolved, </w:t>
      </w:r>
      <w:r>
        <w:rPr>
          <w:rFonts w:ascii="Arial"/>
          <w:color w:val="000000"/>
          <w:sz w:val="24"/>
        </w:rPr>
        <w:t xml:space="preserve">the proposed development </w:t>
      </w:r>
      <w:r>
        <w:rPr>
          <w:rFonts w:ascii="Arial"/>
          <w:color w:val="000000"/>
          <w:sz w:val="24"/>
        </w:rPr>
        <w:t>is the subject of public submissions that I will address</w:t>
      </w:r>
      <w:r>
        <w:rPr>
          <w:rFonts w:ascii="Arial"/>
          <w:color w:val="000000"/>
          <w:sz w:val="24"/>
        </w:rPr>
        <w:t xml:space="preserve"> </w:t>
      </w:r>
      <w:r>
        <w:rPr>
          <w:rFonts w:ascii="Arial"/>
          <w:color w:val="000000"/>
          <w:sz w:val="24"/>
        </w:rPr>
        <w:t>at [</w:t>
      </w:r>
      <w:hyperlink r:id="rId13">
        <w:r>
          <w:rPr>
            <w:rFonts w:ascii="Arial"/>
            <w:color w:val="000000"/>
            <w:sz w:val="24"/>
            <w:u w:val="single"/>
          </w:rPr>
          <w:t/>
        </w:r>
        <w:r>
          <w:rPr>
            <w:rFonts w:ascii="Arial"/>
            <w:color w:val="000000"/>
            <w:sz w:val="24"/>
          </w:rPr>
          <w:t>59</w:t>
        </w:r>
      </w:hyperlink>
      <w:hyperlink r:id="rId14">
        <w:r>
          <w:rPr>
            <w:rFonts w:ascii="Arial"/>
            <w:color w:val="000000"/>
            <w:sz w:val="24"/>
          </w:rPr>
          <w:t/>
        </w:r>
      </w:hyperlink>
      <w:r>
        <w:rPr>
          <w:rFonts w:ascii="Arial"/>
          <w:color w:val="000000"/>
          <w:sz w:val="24"/>
        </w:rPr>
        <w:t>]-[</w:t>
      </w:r>
      <w:hyperlink r:id="rId15">
        <w:r>
          <w:rPr>
            <w:rFonts w:ascii="Arial"/>
            <w:color w:val="000000"/>
            <w:sz w:val="24"/>
            <w:u w:val="single"/>
          </w:rPr>
          <w:t/>
        </w:r>
        <w:r>
          <w:rPr>
            <w:rFonts w:ascii="Arial"/>
            <w:color w:val="000000"/>
            <w:sz w:val="24"/>
          </w:rPr>
          <w:t>78</w:t>
        </w:r>
      </w:hyperlink>
      <w:hyperlink r:id="rId16">
        <w:r>
          <w:rPr>
            <w:rFonts w:ascii="Arial"/>
            <w:color w:val="000000"/>
            <w:sz w:val="24"/>
          </w:rPr>
          <w:t/>
        </w:r>
      </w:hyperlink>
      <w:r>
        <w:rPr>
          <w:rFonts w:ascii="Arial"/>
          <w:color w:val="000000"/>
          <w:sz w:val="24"/>
        </w:rPr>
        <w:t>].</w:t>
      </w:r>
      <w:r>
        <w:rPr>
          <w:rFonts w:ascii="Arial"/>
          <w:color w:val="000000"/>
          <w:sz w:val="24"/>
        </w:rPr>
        <w:t xml:space="preserve"> </w:t>
      </w:r>
      <w:r>
        <w:rPr>
          <w:rFonts w:ascii="Arial"/>
          <w:color w:val="000000"/>
          <w:sz w:val="24"/>
        </w:rPr>
        <w:t xml:space="preserve"> </w:t>
      </w:r>
    </w:p>
    <w:p>
      <w:pPr>
        <w:pStyle w:val="CaselawHeading2"/>
        <w:keepNext/>
        <w:spacing w:before="150" w:after="150" w:line="264"/>
        <w:ind w:left="0"/>
        <w:jc w:val="left"/>
      </w:pPr>
      <w:r>
        <w:rPr>
          <w:rFonts w:ascii="Arial"/>
        </w:rPr>
        <w:t xml:space="preserve">The site and its context </w:t>
      </w:r>
    </w:p>
    <w:p>
      <w:pPr>
        <w:pStyle w:val="CaselawNumbered10"/>
        <w:numPr>
          <w:ilvl w:val="0"/>
          <w:numId w:val="25"/>
        </w:numPr>
        <w:spacing w:before="150" w:after="0"/>
        <w:ind w:left="600" w:hanging="600"/>
      </w:pPr>
      <w:r>
        <w:rPr>
          <w:rFonts w:ascii="Arial"/>
          <w:color w:val="000000"/>
          <w:sz w:val="24"/>
        </w:rPr>
        <w:t>The site</w:t>
      </w:r>
      <w:r>
        <w:rPr>
          <w:rFonts w:ascii="Arial"/>
          <w:color w:val="000000"/>
          <w:sz w:val="24"/>
        </w:rPr>
        <w:t xml:space="preserve"> </w:t>
      </w:r>
      <w:r>
        <w:rPr>
          <w:rFonts w:ascii="Arial"/>
          <w:color w:val="000000"/>
          <w:sz w:val="24"/>
        </w:rPr>
        <w:t>is on the western side of Pearl Street, on land that rises steeply to the rear</w:t>
      </w:r>
      <w:r>
        <w:rPr>
          <w:rFonts w:ascii="Arial"/>
          <w:color w:val="000000"/>
          <w:sz w:val="24"/>
        </w:rPr>
        <w:t>, where it adjoins lots fronting Thomson Street further to the west.</w:t>
      </w:r>
    </w:p>
    <w:p>
      <w:pPr>
        <w:pStyle w:val="CaselawNumbered10"/>
        <w:numPr>
          <w:ilvl w:val="0"/>
          <w:numId w:val="25"/>
        </w:numPr>
        <w:spacing w:before="150" w:after="0"/>
        <w:ind w:left="600" w:hanging="600"/>
      </w:pPr>
      <w:r>
        <w:rPr>
          <w:rFonts w:ascii="Arial"/>
          <w:color w:val="000000"/>
          <w:sz w:val="24"/>
        </w:rPr>
        <w:t>The site</w:t>
      </w:r>
      <w:r>
        <w:rPr>
          <w:rFonts w:ascii="Arial"/>
          <w:color w:val="000000"/>
          <w:sz w:val="24"/>
        </w:rPr>
        <w:t xml:space="preserve"> </w:t>
      </w:r>
      <w:r>
        <w:rPr>
          <w:rFonts w:ascii="Arial"/>
          <w:color w:val="000000"/>
          <w:sz w:val="24"/>
        </w:rPr>
        <w:t>is commonly known as No 7</w:t>
      </w:r>
      <w:r>
        <w:rPr>
          <w:rFonts w:ascii="Arial"/>
          <w:color w:val="000000"/>
          <w:sz w:val="24"/>
        </w:rPr>
        <w:t>-13</w:t>
      </w:r>
      <w:r>
        <w:rPr>
          <w:rFonts w:ascii="Arial"/>
          <w:color w:val="000000"/>
          <w:sz w:val="24"/>
        </w:rPr>
        <w:t xml:space="preserve"> </w:t>
      </w:r>
      <w:r>
        <w:rPr>
          <w:rFonts w:ascii="Arial"/>
          <w:color w:val="000000"/>
          <w:sz w:val="24"/>
        </w:rPr>
        <w:t>Pearl Street, Tweed Heads</w:t>
      </w:r>
      <w:r>
        <w:rPr>
          <w:rFonts w:ascii="Arial"/>
          <w:color w:val="000000"/>
          <w:sz w:val="24"/>
        </w:rPr>
        <w:t xml:space="preserve">, </w:t>
      </w:r>
      <w:r>
        <w:rPr>
          <w:rFonts w:ascii="Arial"/>
          <w:color w:val="000000"/>
          <w:sz w:val="24"/>
        </w:rPr>
        <w:t>compris</w:t>
      </w:r>
      <w:r>
        <w:rPr>
          <w:rFonts w:ascii="Arial"/>
          <w:color w:val="000000"/>
          <w:sz w:val="24"/>
        </w:rPr>
        <w:t>ing</w:t>
      </w:r>
      <w:r>
        <w:rPr>
          <w:rFonts w:ascii="Arial"/>
          <w:color w:val="000000"/>
          <w:sz w:val="24"/>
        </w:rPr>
        <w:t xml:space="preserve"> </w:t>
      </w:r>
      <w:r>
        <w:rPr>
          <w:rFonts w:ascii="Arial"/>
          <w:color w:val="000000"/>
          <w:sz w:val="24"/>
        </w:rPr>
        <w:t xml:space="preserve">four lots </w:t>
      </w:r>
      <w:r>
        <w:rPr>
          <w:rFonts w:ascii="Arial"/>
          <w:color w:val="000000"/>
          <w:sz w:val="24"/>
        </w:rPr>
        <w:t>legally described as Lots 4, 5, 6 and 7 in DP 23888</w:t>
      </w:r>
      <w:r>
        <w:rPr>
          <w:rFonts w:ascii="Arial"/>
          <w:color w:val="000000"/>
          <w:sz w:val="24"/>
        </w:rPr>
        <w:t xml:space="preserve"> </w:t>
      </w:r>
      <w:r>
        <w:rPr>
          <w:rFonts w:ascii="Arial"/>
          <w:color w:val="000000"/>
          <w:sz w:val="24"/>
        </w:rPr>
        <w:t>that, together, total a site area of 2,832m</w:t>
      </w:r>
      <w:r>
        <w:rPr>
          <w:rFonts w:ascii="Arial"/>
          <w:color w:val="000000"/>
          <w:sz w:val="24"/>
        </w:rPr>
        <w:t>2</w:t>
      </w:r>
      <w:r>
        <w:rPr>
          <w:rFonts w:ascii="Arial"/>
          <w:color w:val="000000"/>
          <w:sz w:val="24"/>
        </w:rPr>
        <w:t xml:space="preserve">. </w:t>
      </w:r>
    </w:p>
    <w:p>
      <w:pPr>
        <w:pStyle w:val="CaselawNumbered10"/>
        <w:numPr>
          <w:ilvl w:val="0"/>
          <w:numId w:val="25"/>
        </w:numPr>
        <w:spacing w:before="150" w:after="0"/>
        <w:ind w:left="600" w:hanging="600"/>
      </w:pPr>
      <w:r>
        <w:rPr>
          <w:rFonts w:ascii="Arial"/>
          <w:color w:val="000000"/>
          <w:sz w:val="24"/>
        </w:rPr>
        <w:t xml:space="preserve">The western side of </w:t>
      </w:r>
      <w:r>
        <w:rPr>
          <w:rFonts w:ascii="Arial"/>
          <w:color w:val="000000"/>
          <w:sz w:val="24"/>
        </w:rPr>
        <w:t xml:space="preserve">Pearl Street is </w:t>
      </w:r>
      <w:r>
        <w:rPr>
          <w:rFonts w:ascii="Arial"/>
          <w:color w:val="000000"/>
          <w:sz w:val="24"/>
        </w:rPr>
        <w:t xml:space="preserve">predominantly single storey </w:t>
      </w:r>
      <w:r>
        <w:rPr>
          <w:rFonts w:ascii="Arial"/>
          <w:color w:val="000000"/>
          <w:sz w:val="24"/>
        </w:rPr>
        <w:t>dwelli</w:t>
      </w:r>
      <w:r>
        <w:rPr>
          <w:rFonts w:ascii="Arial"/>
          <w:color w:val="000000"/>
          <w:sz w:val="24"/>
        </w:rPr>
        <w:t xml:space="preserve">ngs, while the eastern side is a mix of multi-dwelling development, residential flat </w:t>
      </w:r>
      <w:r>
        <w:rPr>
          <w:rFonts w:ascii="Arial"/>
          <w:color w:val="000000"/>
          <w:sz w:val="24"/>
        </w:rPr>
        <w:t>buildings</w:t>
      </w:r>
      <w:r>
        <w:rPr>
          <w:rFonts w:ascii="Arial"/>
          <w:color w:val="000000"/>
          <w:sz w:val="24"/>
        </w:rPr>
        <w:t xml:space="preserve"> </w:t>
      </w:r>
      <w:r>
        <w:rPr>
          <w:rFonts w:ascii="Arial"/>
          <w:color w:val="000000"/>
          <w:sz w:val="24"/>
        </w:rPr>
        <w:t>and single and two-storey dwellings.</w:t>
      </w:r>
    </w:p>
    <w:p>
      <w:pPr>
        <w:pStyle w:val="CaselawNumbered10"/>
        <w:numPr>
          <w:ilvl w:val="0"/>
          <w:numId w:val="25"/>
        </w:numPr>
        <w:spacing w:before="150" w:after="0"/>
        <w:ind w:left="600" w:hanging="600"/>
      </w:pPr>
      <w:r>
        <w:rPr>
          <w:rFonts w:ascii="Arial"/>
          <w:color w:val="000000"/>
          <w:sz w:val="24"/>
        </w:rPr>
        <w:t>St Joseph</w:t>
      </w:r>
      <w:r>
        <w:rPr>
          <w:rFonts w:ascii="Arial"/>
          <w:color w:val="000000"/>
          <w:sz w:val="24"/>
        </w:rPr>
        <w:t>’</w:t>
      </w:r>
      <w:r>
        <w:rPr>
          <w:rFonts w:ascii="Arial"/>
          <w:color w:val="000000"/>
          <w:sz w:val="24"/>
        </w:rPr>
        <w:t>s Catholic Church (the Church) is located at the northern end of Pearl Street, at the intersection with Frances Street</w:t>
      </w:r>
      <w:r>
        <w:rPr>
          <w:rFonts w:ascii="Arial"/>
          <w:color w:val="000000"/>
          <w:sz w:val="24"/>
        </w:rPr>
        <w:t xml:space="preserve">. </w:t>
      </w:r>
      <w:r>
        <w:rPr>
          <w:rFonts w:ascii="Arial"/>
          <w:color w:val="000000"/>
          <w:sz w:val="24"/>
        </w:rPr>
        <w:t>A</w:t>
      </w:r>
      <w:r>
        <w:rPr>
          <w:rFonts w:ascii="Arial"/>
          <w:color w:val="000000"/>
          <w:sz w:val="24"/>
        </w:rPr>
        <w:t xml:space="preserve"> </w:t>
      </w:r>
      <w:r>
        <w:rPr>
          <w:rFonts w:ascii="Arial"/>
          <w:color w:val="000000"/>
          <w:sz w:val="24"/>
        </w:rPr>
        <w:t xml:space="preserve">car park belonging to the Church </w:t>
      </w:r>
      <w:r>
        <w:rPr>
          <w:rFonts w:ascii="Arial"/>
          <w:color w:val="000000"/>
          <w:sz w:val="24"/>
        </w:rPr>
        <w:t>uses Pearl Street as it</w:t>
      </w:r>
      <w:r>
        <w:rPr>
          <w:rFonts w:ascii="Arial"/>
          <w:color w:val="000000"/>
          <w:sz w:val="24"/>
        </w:rPr>
        <w:t>s</w:t>
      </w:r>
      <w:r>
        <w:rPr>
          <w:rFonts w:ascii="Arial"/>
          <w:color w:val="000000"/>
          <w:sz w:val="24"/>
        </w:rPr>
        <w:t xml:space="preserve"> </w:t>
      </w:r>
      <w:r>
        <w:rPr>
          <w:rFonts w:ascii="Arial"/>
          <w:color w:val="000000"/>
          <w:sz w:val="24"/>
        </w:rPr>
        <w:t>sole access.</w:t>
      </w:r>
    </w:p>
    <w:p>
      <w:pPr>
        <w:pStyle w:val="CaselawNumbered10"/>
        <w:numPr>
          <w:ilvl w:val="0"/>
          <w:numId w:val="25"/>
        </w:numPr>
        <w:spacing w:before="150" w:after="0"/>
        <w:ind w:left="600" w:hanging="600"/>
      </w:pPr>
      <w:r>
        <w:rPr>
          <w:rFonts w:ascii="Arial"/>
          <w:color w:val="000000"/>
          <w:sz w:val="24"/>
        </w:rPr>
        <w:t>The site</w:t>
      </w:r>
      <w:r>
        <w:rPr>
          <w:rFonts w:ascii="Arial"/>
          <w:color w:val="000000"/>
          <w:sz w:val="24"/>
        </w:rPr>
        <w:t xml:space="preserve">, and surrounding land to the north, south, </w:t>
      </w:r>
      <w:r>
        <w:rPr>
          <w:rFonts w:ascii="Arial"/>
          <w:color w:val="000000"/>
          <w:sz w:val="24"/>
        </w:rPr>
        <w:t>east</w:t>
      </w:r>
      <w:r>
        <w:rPr>
          <w:rFonts w:ascii="Arial"/>
          <w:color w:val="000000"/>
          <w:sz w:val="24"/>
        </w:rPr>
        <w:t xml:space="preserve"> </w:t>
      </w:r>
      <w:r>
        <w:rPr>
          <w:rFonts w:ascii="Arial"/>
          <w:color w:val="000000"/>
          <w:sz w:val="24"/>
        </w:rPr>
        <w:t>and west,</w:t>
      </w:r>
      <w:r>
        <w:rPr>
          <w:rFonts w:ascii="Arial"/>
          <w:color w:val="000000"/>
          <w:sz w:val="24"/>
        </w:rPr>
        <w:t xml:space="preserve"> </w:t>
      </w:r>
      <w:r>
        <w:rPr>
          <w:rFonts w:ascii="Arial"/>
          <w:color w:val="000000"/>
          <w:sz w:val="24"/>
        </w:rPr>
        <w:t>is located within the R3 Medium Density Residential zone, according to the Tweed City Centre Local Environmental Plan 2012</w:t>
      </w:r>
      <w:r>
        <w:rPr>
          <w:rFonts w:ascii="Arial"/>
          <w:color w:val="000000"/>
          <w:sz w:val="24"/>
        </w:rPr>
        <w:t xml:space="preserve"> </w:t>
      </w:r>
      <w:r>
        <w:rPr>
          <w:rFonts w:ascii="Arial"/>
          <w:color w:val="000000"/>
          <w:sz w:val="24"/>
        </w:rPr>
        <w:t>(TCCLEP)</w:t>
      </w:r>
      <w:r>
        <w:rPr>
          <w:rFonts w:ascii="Arial"/>
          <w:color w:val="000000"/>
          <w:sz w:val="24"/>
        </w:rPr>
        <w:t>.</w:t>
      </w:r>
      <w:r>
        <w:rPr>
          <w:rFonts w:ascii="Arial"/>
          <w:color w:val="000000"/>
          <w:sz w:val="24"/>
        </w:rPr>
        <w:t xml:space="preserve"> </w:t>
      </w:r>
    </w:p>
    <w:p>
      <w:pPr>
        <w:pStyle w:val="CaselawNumbered10"/>
        <w:numPr>
          <w:ilvl w:val="0"/>
          <w:numId w:val="25"/>
        </w:numPr>
        <w:spacing w:before="150" w:after="0"/>
        <w:ind w:left="600" w:hanging="600"/>
      </w:pPr>
      <w:r>
        <w:rPr>
          <w:rFonts w:ascii="Arial"/>
          <w:color w:val="000000"/>
          <w:sz w:val="24"/>
        </w:rPr>
        <w:t xml:space="preserve">Residential flat buildings are </w:t>
      </w:r>
      <w:r>
        <w:rPr>
          <w:rFonts w:ascii="Arial"/>
          <w:color w:val="000000"/>
          <w:sz w:val="24"/>
        </w:rPr>
        <w:t xml:space="preserve">a form of development permitted with consent by virtue of </w:t>
      </w:r>
      <w:r>
        <w:rPr>
          <w:rFonts w:ascii="Arial"/>
          <w:color w:val="000000"/>
          <w:sz w:val="24"/>
        </w:rPr>
        <w:t>not</w:t>
      </w:r>
      <w:r>
        <w:rPr>
          <w:rFonts w:ascii="Arial"/>
          <w:color w:val="000000"/>
          <w:sz w:val="24"/>
        </w:rPr>
        <w:t xml:space="preserve"> </w:t>
      </w:r>
      <w:r>
        <w:rPr>
          <w:rFonts w:ascii="Arial"/>
          <w:color w:val="000000"/>
          <w:sz w:val="24"/>
        </w:rPr>
        <w:t>being otherwise</w:t>
      </w:r>
      <w:r>
        <w:rPr>
          <w:rFonts w:ascii="Arial"/>
          <w:color w:val="000000"/>
          <w:sz w:val="24"/>
        </w:rPr>
        <w:t xml:space="preserve"> </w:t>
      </w:r>
      <w:r>
        <w:rPr>
          <w:rFonts w:ascii="Arial"/>
          <w:color w:val="000000"/>
          <w:sz w:val="24"/>
        </w:rPr>
        <w:t>specified in item 2 or 4</w:t>
      </w:r>
      <w:r>
        <w:rPr>
          <w:rFonts w:ascii="Arial"/>
          <w:color w:val="000000"/>
          <w:sz w:val="24"/>
        </w:rPr>
        <w:t xml:space="preserve"> </w:t>
      </w:r>
      <w:r>
        <w:rPr>
          <w:rFonts w:ascii="Arial"/>
          <w:color w:val="000000"/>
          <w:sz w:val="24"/>
        </w:rPr>
        <w:t>of the relevant Land Use Table at cl 2.7 of the TCCLEP.</w:t>
      </w:r>
    </w:p>
    <w:p>
      <w:pPr>
        <w:pStyle w:val="CaselawNumbered10"/>
        <w:numPr>
          <w:ilvl w:val="0"/>
          <w:numId w:val="25"/>
        </w:numPr>
        <w:spacing w:before="150" w:after="0"/>
        <w:ind w:left="600" w:hanging="600"/>
      </w:pPr>
      <w:r>
        <w:rPr>
          <w:rFonts w:ascii="Arial"/>
          <w:color w:val="000000"/>
          <w:sz w:val="24"/>
        </w:rPr>
        <w:t xml:space="preserve">The </w:t>
      </w:r>
      <w:r>
        <w:rPr>
          <w:rFonts w:ascii="Arial"/>
          <w:color w:val="000000"/>
          <w:sz w:val="24"/>
        </w:rPr>
        <w:t>objectives</w:t>
      </w:r>
      <w:r>
        <w:rPr>
          <w:rFonts w:ascii="Arial"/>
          <w:color w:val="000000"/>
          <w:sz w:val="24"/>
        </w:rPr>
        <w:t xml:space="preserve"> </w:t>
      </w:r>
      <w:r>
        <w:rPr>
          <w:rFonts w:ascii="Arial"/>
          <w:color w:val="000000"/>
          <w:sz w:val="24"/>
        </w:rPr>
        <w:t xml:space="preserve">for </w:t>
      </w:r>
      <w:r>
        <w:rPr>
          <w:rFonts w:ascii="Arial"/>
          <w:color w:val="000000"/>
          <w:sz w:val="24"/>
        </w:rPr>
        <w:t>develop</w:t>
      </w:r>
      <w:r>
        <w:rPr>
          <w:rFonts w:ascii="Arial"/>
          <w:color w:val="000000"/>
          <w:sz w:val="24"/>
        </w:rPr>
        <w:t xml:space="preserve">ment in the </w:t>
      </w:r>
      <w:r>
        <w:rPr>
          <w:rFonts w:ascii="Arial"/>
          <w:color w:val="000000"/>
          <w:sz w:val="24"/>
        </w:rPr>
        <w:t>R</w:t>
      </w:r>
      <w:r>
        <w:rPr>
          <w:rFonts w:ascii="Arial"/>
          <w:color w:val="000000"/>
          <w:sz w:val="24"/>
        </w:rPr>
        <w:t>3 zone are:</w:t>
      </w:r>
    </w:p>
    <w:p>
      <w:pPr>
        <w:pStyle w:val="CaselawQuote"/>
        <w:spacing w:before="150" w:after="150"/>
        <w:ind w:left="1350"/>
        <w:jc w:val="left"/>
      </w:pPr>
      <w:r>
        <w:rPr>
          <w:rFonts w:ascii="Arial"/>
          <w:color w:val="000000"/>
          <w:sz w:val="22"/>
        </w:rPr>
        <w:t>•  To provide for the housing needs of the community within a medium density residential environment.</w:t>
      </w:r>
    </w:p>
    <w:p>
      <w:pPr>
        <w:pStyle w:val="CaselawQuote"/>
        <w:spacing w:before="150" w:after="150"/>
        <w:ind w:left="1350"/>
        <w:jc w:val="left"/>
      </w:pPr>
      <w:r>
        <w:rPr>
          <w:rFonts w:ascii="Arial"/>
          <w:color w:val="000000"/>
          <w:sz w:val="22"/>
        </w:rPr>
        <w:t>•  To provide a variety of housing types within a medium density residential environment.</w:t>
      </w:r>
    </w:p>
    <w:p>
      <w:pPr>
        <w:pStyle w:val="CaselawQuote"/>
        <w:spacing w:before="150" w:after="150"/>
        <w:ind w:left="1350"/>
        <w:jc w:val="left"/>
      </w:pPr>
      <w:r>
        <w:rPr>
          <w:rFonts w:ascii="Arial"/>
          <w:color w:val="000000"/>
          <w:sz w:val="22"/>
        </w:rPr>
        <w:t>•  To enable other land uses that provide facilities or services to meet the day to day needs of residents.</w:t>
      </w:r>
    </w:p>
    <w:p>
      <w:pPr>
        <w:pStyle w:val="CaselawNumbered10"/>
        <w:numPr>
          <w:ilvl w:val="0"/>
          <w:numId w:val="26"/>
        </w:numPr>
        <w:spacing w:before="150" w:after="0"/>
        <w:ind w:left="600" w:hanging="600"/>
      </w:pPr>
      <w:r>
        <w:rPr>
          <w:rFonts w:ascii="Arial"/>
          <w:color w:val="000000"/>
          <w:sz w:val="24"/>
        </w:rPr>
        <w:t xml:space="preserve">The proceedings commenced with an onsite view </w:t>
      </w:r>
      <w:r>
        <w:rPr>
          <w:rFonts w:ascii="Arial"/>
          <w:color w:val="000000"/>
          <w:sz w:val="24"/>
        </w:rPr>
        <w:t xml:space="preserve">at which the Court, in the company of the legal representatives, and some of </w:t>
      </w:r>
      <w:r>
        <w:rPr>
          <w:rFonts w:ascii="Arial"/>
          <w:color w:val="000000"/>
          <w:sz w:val="24"/>
        </w:rPr>
        <w:t>the</w:t>
      </w:r>
      <w:r>
        <w:rPr>
          <w:rFonts w:ascii="Arial"/>
          <w:color w:val="000000"/>
          <w:sz w:val="24"/>
        </w:rPr>
        <w:t xml:space="preserve"> </w:t>
      </w:r>
      <w:r>
        <w:rPr>
          <w:rFonts w:ascii="Arial"/>
          <w:color w:val="000000"/>
          <w:sz w:val="24"/>
        </w:rPr>
        <w:t>experts, heard oral submissions from residents objecting to the proposal.</w:t>
      </w:r>
    </w:p>
    <w:p>
      <w:pPr>
        <w:pStyle w:val="CaselawNumbered10"/>
        <w:numPr>
          <w:ilvl w:val="0"/>
          <w:numId w:val="26"/>
        </w:numPr>
        <w:spacing w:before="150" w:after="0"/>
        <w:ind w:left="600" w:hanging="600"/>
      </w:pPr>
      <w:r>
        <w:rPr>
          <w:rFonts w:ascii="Arial"/>
          <w:color w:val="000000"/>
          <w:sz w:val="24"/>
        </w:rPr>
        <w:t>Oral s</w:t>
      </w:r>
      <w:r>
        <w:rPr>
          <w:rFonts w:ascii="Arial"/>
          <w:color w:val="000000"/>
          <w:sz w:val="24"/>
        </w:rPr>
        <w:t xml:space="preserve">ubmissions were heard from residents of Nos 40-42 Thomson Street, </w:t>
      </w:r>
      <w:r>
        <w:rPr>
          <w:rFonts w:ascii="Arial"/>
          <w:color w:val="000000"/>
          <w:sz w:val="24"/>
        </w:rPr>
        <w:t>No</w:t>
      </w:r>
      <w:r>
        <w:rPr>
          <w:rFonts w:ascii="Arial"/>
          <w:color w:val="000000"/>
          <w:sz w:val="24"/>
        </w:rPr>
        <w:t xml:space="preserve"> </w:t>
      </w:r>
      <w:r>
        <w:rPr>
          <w:rFonts w:ascii="Arial"/>
          <w:color w:val="000000"/>
          <w:sz w:val="24"/>
        </w:rPr>
        <w:t>6 Pearl Street and No 18 Pearl Street</w:t>
      </w:r>
      <w:r>
        <w:rPr>
          <w:rFonts w:ascii="Arial"/>
          <w:color w:val="000000"/>
          <w:sz w:val="24"/>
        </w:rPr>
        <w:t>, dealing, broadly, with the following:</w:t>
      </w:r>
    </w:p>
    <w:p>
      <w:pPr>
        <w:pStyle w:val="CaselawBullet"/>
        <w:numPr>
          <w:ilvl w:val="0"/>
          <w:numId w:val="27"/>
        </w:numPr>
        <w:spacing w:before="150" w:after="0"/>
        <w:ind w:left="600" w:hanging="250"/>
      </w:pPr>
      <w:r>
        <w:rPr>
          <w:rFonts w:ascii="Arial"/>
          <w:color w:val="000000"/>
          <w:sz w:val="24"/>
        </w:rPr>
        <w:t>Traffic</w:t>
      </w:r>
      <w:r>
        <w:rPr>
          <w:rFonts w:ascii="Arial"/>
          <w:color w:val="000000"/>
          <w:sz w:val="24"/>
        </w:rPr>
        <w:t xml:space="preserve">, </w:t>
      </w:r>
      <w:r>
        <w:rPr>
          <w:rFonts w:ascii="Arial"/>
          <w:color w:val="000000"/>
          <w:sz w:val="24"/>
        </w:rPr>
        <w:t>parking</w:t>
      </w:r>
      <w:r>
        <w:rPr>
          <w:rFonts w:ascii="Arial"/>
          <w:color w:val="000000"/>
          <w:sz w:val="24"/>
        </w:rPr>
        <w:t xml:space="preserve"> </w:t>
      </w:r>
      <w:r>
        <w:rPr>
          <w:rFonts w:ascii="Arial"/>
          <w:color w:val="000000"/>
          <w:sz w:val="24"/>
        </w:rPr>
        <w:t>and pedestrian safety</w:t>
      </w:r>
    </w:p>
    <w:p>
      <w:pPr>
        <w:pStyle w:val="CaselawBullet"/>
        <w:numPr>
          <w:ilvl w:val="0"/>
          <w:numId w:val="27"/>
        </w:numPr>
        <w:spacing w:before="150" w:after="0"/>
        <w:ind w:left="600" w:hanging="250"/>
      </w:pPr>
      <w:r>
        <w:rPr>
          <w:rFonts w:ascii="Arial"/>
          <w:color w:val="000000"/>
          <w:sz w:val="24"/>
        </w:rPr>
        <w:t xml:space="preserve">View loss </w:t>
      </w:r>
    </w:p>
    <w:p>
      <w:pPr>
        <w:pStyle w:val="CaselawBullet"/>
        <w:numPr>
          <w:ilvl w:val="0"/>
          <w:numId w:val="27"/>
        </w:numPr>
        <w:spacing w:before="150" w:after="0"/>
        <w:ind w:left="600" w:hanging="250"/>
      </w:pPr>
      <w:r>
        <w:rPr>
          <w:rFonts w:ascii="Arial"/>
          <w:color w:val="000000"/>
          <w:sz w:val="24"/>
        </w:rPr>
        <w:t>Waste collection</w:t>
      </w:r>
    </w:p>
    <w:p>
      <w:pPr>
        <w:pStyle w:val="CaselawBullet"/>
        <w:numPr>
          <w:ilvl w:val="0"/>
          <w:numId w:val="27"/>
        </w:numPr>
        <w:spacing w:before="150" w:after="0"/>
        <w:ind w:left="600" w:hanging="250"/>
      </w:pPr>
      <w:r>
        <w:rPr>
          <w:rFonts w:ascii="Arial"/>
          <w:color w:val="000000"/>
          <w:sz w:val="24"/>
        </w:rPr>
        <w:t>Construction impacts</w:t>
      </w:r>
    </w:p>
    <w:p>
      <w:pPr>
        <w:pStyle w:val="CaselawBullet"/>
        <w:numPr>
          <w:ilvl w:val="0"/>
          <w:numId w:val="27"/>
        </w:numPr>
        <w:spacing w:before="150" w:after="0"/>
        <w:ind w:left="600" w:hanging="250"/>
      </w:pPr>
      <w:r>
        <w:rPr>
          <w:rFonts w:ascii="Arial"/>
          <w:color w:val="000000"/>
          <w:sz w:val="24"/>
        </w:rPr>
        <w:t>Flooding</w:t>
      </w:r>
    </w:p>
    <w:p>
      <w:pPr>
        <w:pStyle w:val="CaselawBullet"/>
        <w:numPr>
          <w:ilvl w:val="0"/>
          <w:numId w:val="27"/>
        </w:numPr>
        <w:spacing w:before="150" w:after="0"/>
        <w:ind w:left="600" w:hanging="250"/>
      </w:pPr>
      <w:r>
        <w:rPr>
          <w:rFonts w:ascii="Arial"/>
          <w:color w:val="000000"/>
          <w:sz w:val="24"/>
        </w:rPr>
        <w:t>Utilities</w:t>
      </w:r>
    </w:p>
    <w:p>
      <w:pPr>
        <w:pStyle w:val="CaselawNumbered10"/>
        <w:numPr>
          <w:ilvl w:val="0"/>
          <w:numId w:val="28"/>
        </w:numPr>
        <w:spacing w:before="150" w:after="0"/>
        <w:ind w:left="600" w:hanging="600"/>
      </w:pPr>
      <w:r>
        <w:rPr>
          <w:rFonts w:ascii="Arial"/>
          <w:color w:val="000000"/>
          <w:sz w:val="24"/>
        </w:rPr>
        <w:t xml:space="preserve">Written </w:t>
      </w:r>
      <w:r>
        <w:rPr>
          <w:rFonts w:ascii="Arial"/>
          <w:color w:val="000000"/>
          <w:sz w:val="24"/>
        </w:rPr>
        <w:t xml:space="preserve">public </w:t>
      </w:r>
      <w:r>
        <w:rPr>
          <w:rFonts w:ascii="Arial"/>
          <w:color w:val="000000"/>
          <w:sz w:val="24"/>
        </w:rPr>
        <w:t xml:space="preserve">submissions </w:t>
      </w:r>
      <w:r>
        <w:rPr>
          <w:rFonts w:ascii="Arial"/>
          <w:color w:val="000000"/>
          <w:sz w:val="24"/>
        </w:rPr>
        <w:t xml:space="preserve">received by the </w:t>
      </w:r>
      <w:r>
        <w:rPr>
          <w:rFonts w:ascii="Arial"/>
          <w:color w:val="000000"/>
          <w:sz w:val="24"/>
        </w:rPr>
        <w:t>R</w:t>
      </w:r>
      <w:r>
        <w:rPr>
          <w:rFonts w:ascii="Arial"/>
          <w:color w:val="000000"/>
          <w:sz w:val="24"/>
        </w:rPr>
        <w:t>espondent in respect of the development application, and the amendments made to it, are contained at Tabs 10-</w:t>
      </w:r>
      <w:r>
        <w:rPr>
          <w:rFonts w:ascii="Arial"/>
          <w:color w:val="000000"/>
          <w:sz w:val="24"/>
        </w:rPr>
        <w:t>43 of Exhibit 2.</w:t>
      </w:r>
    </w:p>
    <w:p>
      <w:pPr>
        <w:pStyle w:val="CaselawNumbered10"/>
        <w:numPr>
          <w:ilvl w:val="0"/>
          <w:numId w:val="28"/>
        </w:numPr>
        <w:spacing w:before="150" w:after="0"/>
        <w:ind w:left="600" w:hanging="600"/>
      </w:pPr>
      <w:r>
        <w:rPr>
          <w:rFonts w:ascii="Arial"/>
          <w:color w:val="000000"/>
          <w:sz w:val="24"/>
        </w:rPr>
        <w:t>While the issues raised by residents are, in essence, about the impact of the proposal on their amenity, no</w:t>
      </w:r>
      <w:r>
        <w:rPr>
          <w:rFonts w:ascii="Arial"/>
          <w:color w:val="000000"/>
          <w:sz w:val="24"/>
        </w:rPr>
        <w:t xml:space="preserve">ne are </w:t>
      </w:r>
      <w:r>
        <w:rPr>
          <w:rFonts w:ascii="Arial"/>
          <w:color w:val="000000"/>
          <w:sz w:val="24"/>
        </w:rPr>
        <w:t xml:space="preserve">jurisdictional </w:t>
      </w:r>
      <w:r>
        <w:rPr>
          <w:rFonts w:ascii="Arial"/>
          <w:color w:val="000000"/>
          <w:sz w:val="24"/>
        </w:rPr>
        <w:t>impediments in their own right, and</w:t>
      </w:r>
      <w:r>
        <w:rPr>
          <w:rFonts w:ascii="Arial"/>
          <w:color w:val="000000"/>
          <w:sz w:val="24"/>
        </w:rPr>
        <w:t xml:space="preserve"> </w:t>
      </w:r>
      <w:r>
        <w:rPr>
          <w:rFonts w:ascii="Arial"/>
          <w:color w:val="000000"/>
          <w:sz w:val="24"/>
        </w:rPr>
        <w:t xml:space="preserve">so it is appropriate </w:t>
      </w:r>
      <w:r>
        <w:rPr>
          <w:rFonts w:ascii="Arial"/>
          <w:color w:val="000000"/>
          <w:sz w:val="24"/>
        </w:rPr>
        <w:t xml:space="preserve">for the Court </w:t>
      </w:r>
      <w:r>
        <w:rPr>
          <w:rFonts w:ascii="Arial"/>
          <w:color w:val="000000"/>
          <w:sz w:val="24"/>
        </w:rPr>
        <w:t xml:space="preserve">to </w:t>
      </w:r>
      <w:r>
        <w:rPr>
          <w:rFonts w:ascii="Arial"/>
          <w:color w:val="000000"/>
          <w:sz w:val="24"/>
        </w:rPr>
        <w:t xml:space="preserve">first </w:t>
      </w:r>
      <w:r>
        <w:rPr>
          <w:rFonts w:ascii="Arial"/>
          <w:color w:val="000000"/>
          <w:sz w:val="24"/>
        </w:rPr>
        <w:t>consider those issues that are jurisdictional pre-</w:t>
      </w:r>
      <w:r>
        <w:rPr>
          <w:rFonts w:ascii="Arial"/>
          <w:color w:val="000000"/>
          <w:sz w:val="24"/>
        </w:rPr>
        <w:t xml:space="preserve">requisites to the grant of consent. </w:t>
      </w:r>
    </w:p>
    <w:p>
      <w:pPr>
        <w:pStyle w:val="CaselawHeading2"/>
        <w:keepNext/>
        <w:spacing w:before="150" w:after="150" w:line="264"/>
        <w:ind w:left="0"/>
        <w:jc w:val="left"/>
      </w:pPr>
      <w:r>
        <w:rPr>
          <w:rFonts w:ascii="Arial"/>
        </w:rPr>
        <w:t xml:space="preserve">Tweed City Centre Local Environmental Plan </w:t>
      </w:r>
      <w:r>
        <w:rPr>
          <w:rFonts w:ascii="Arial"/>
        </w:rPr>
        <w:t>2012</w:t>
      </w:r>
    </w:p>
    <w:p>
      <w:pPr>
        <w:pStyle w:val="CaselawNumbered10"/>
        <w:numPr>
          <w:ilvl w:val="0"/>
          <w:numId w:val="29"/>
        </w:numPr>
        <w:spacing w:before="150" w:after="0"/>
        <w:ind w:left="600" w:hanging="600"/>
      </w:pPr>
      <w:r>
        <w:rPr>
          <w:rFonts w:ascii="Arial"/>
          <w:color w:val="000000"/>
          <w:sz w:val="24"/>
        </w:rPr>
        <w:t>The</w:t>
      </w:r>
      <w:r>
        <w:rPr>
          <w:rFonts w:ascii="Arial"/>
          <w:color w:val="000000"/>
          <w:sz w:val="24"/>
        </w:rPr>
        <w:t xml:space="preserve"> </w:t>
      </w:r>
      <w:r>
        <w:rPr>
          <w:rFonts w:ascii="Arial"/>
          <w:color w:val="000000"/>
          <w:sz w:val="24"/>
        </w:rPr>
        <w:t xml:space="preserve">height of buildings development standard </w:t>
      </w:r>
      <w:r>
        <w:rPr>
          <w:rFonts w:ascii="Arial"/>
          <w:color w:val="000000"/>
          <w:sz w:val="24"/>
        </w:rPr>
        <w:t xml:space="preserve">at cl 4.3 of the TCCLEP provides for a maximum height </w:t>
      </w:r>
      <w:r>
        <w:rPr>
          <w:rFonts w:ascii="Arial"/>
          <w:color w:val="000000"/>
          <w:sz w:val="24"/>
        </w:rPr>
        <w:t xml:space="preserve">of 49.5m </w:t>
      </w:r>
      <w:r>
        <w:rPr>
          <w:rFonts w:ascii="Arial"/>
          <w:color w:val="000000"/>
          <w:sz w:val="24"/>
        </w:rPr>
        <w:t xml:space="preserve">on the site. </w:t>
      </w:r>
    </w:p>
    <w:p>
      <w:pPr>
        <w:pStyle w:val="CaselawNumbered10"/>
        <w:numPr>
          <w:ilvl w:val="0"/>
          <w:numId w:val="29"/>
        </w:numPr>
        <w:spacing w:before="150" w:after="0"/>
        <w:ind w:left="600" w:hanging="600"/>
      </w:pPr>
      <w:r>
        <w:rPr>
          <w:rFonts w:ascii="Arial"/>
          <w:color w:val="000000"/>
          <w:sz w:val="24"/>
        </w:rPr>
        <w:t xml:space="preserve">However, </w:t>
      </w:r>
      <w:r>
        <w:rPr>
          <w:rFonts w:ascii="Arial"/>
          <w:color w:val="000000"/>
          <w:sz w:val="24"/>
        </w:rPr>
        <w:t>the</w:t>
      </w:r>
      <w:r>
        <w:rPr>
          <w:rFonts w:ascii="Arial"/>
          <w:color w:val="000000"/>
          <w:sz w:val="24"/>
        </w:rPr>
        <w:t xml:space="preserve"> </w:t>
      </w:r>
      <w:r>
        <w:rPr>
          <w:rFonts w:ascii="Arial"/>
          <w:color w:val="000000"/>
          <w:sz w:val="24"/>
        </w:rPr>
        <w:t>provision</w:t>
      </w:r>
      <w:r>
        <w:rPr>
          <w:rFonts w:ascii="Arial"/>
          <w:color w:val="000000"/>
          <w:sz w:val="24"/>
        </w:rPr>
        <w:t>s</w:t>
      </w:r>
      <w:r>
        <w:rPr>
          <w:rFonts w:ascii="Arial"/>
          <w:color w:val="000000"/>
          <w:sz w:val="24"/>
        </w:rPr>
        <w:t xml:space="preserve"> </w:t>
      </w:r>
      <w:r>
        <w:rPr>
          <w:rFonts w:ascii="Arial"/>
          <w:color w:val="000000"/>
          <w:sz w:val="24"/>
        </w:rPr>
        <w:t>of</w:t>
      </w:r>
      <w:r>
        <w:rPr>
          <w:rFonts w:ascii="Arial"/>
          <w:color w:val="000000"/>
          <w:sz w:val="24"/>
        </w:rPr>
        <w:t xml:space="preserve"> </w:t>
      </w:r>
      <w:r>
        <w:rPr>
          <w:rFonts w:ascii="Arial"/>
          <w:color w:val="000000"/>
          <w:sz w:val="24"/>
        </w:rPr>
        <w:t xml:space="preserve">cl 6.10(4) of the TCCLEP </w:t>
      </w:r>
      <w:r>
        <w:rPr>
          <w:rFonts w:ascii="Arial"/>
          <w:color w:val="000000"/>
          <w:sz w:val="24"/>
        </w:rPr>
        <w:t>modif</w:t>
      </w:r>
      <w:r>
        <w:rPr>
          <w:rFonts w:ascii="Arial"/>
          <w:color w:val="000000"/>
          <w:sz w:val="24"/>
        </w:rPr>
        <w:t>y</w:t>
      </w:r>
      <w:r>
        <w:rPr>
          <w:rFonts w:ascii="Arial"/>
          <w:color w:val="000000"/>
          <w:sz w:val="24"/>
        </w:rPr>
        <w:t xml:space="preserve"> </w:t>
      </w:r>
      <w:r>
        <w:rPr>
          <w:rFonts w:ascii="Arial"/>
          <w:color w:val="000000"/>
          <w:sz w:val="24"/>
        </w:rPr>
        <w:t xml:space="preserve">the terms </w:t>
      </w:r>
      <w:r>
        <w:rPr>
          <w:rFonts w:ascii="Arial"/>
          <w:color w:val="000000"/>
          <w:sz w:val="24"/>
        </w:rPr>
        <w:t>by which the height of buildings standard can be enlivened</w:t>
      </w:r>
      <w:r>
        <w:rPr>
          <w:rFonts w:ascii="Arial"/>
          <w:color w:val="000000"/>
          <w:sz w:val="24"/>
        </w:rPr>
        <w:t>, by operation of the following</w:t>
      </w:r>
      <w:r>
        <w:rPr>
          <w:rFonts w:ascii="Arial"/>
          <w:color w:val="000000"/>
          <w:sz w:val="24"/>
        </w:rPr>
        <w:t>:</w:t>
      </w:r>
    </w:p>
    <w:p>
      <w:pPr>
        <w:pStyle w:val="CaselawQuote"/>
        <w:spacing w:before="150" w:after="150"/>
        <w:ind w:left="1350"/>
        <w:jc w:val="left"/>
      </w:pPr>
      <w:r>
        <w:rPr>
          <w:rFonts w:ascii="Arial"/>
          <w:color w:val="000000"/>
          <w:sz w:val="22"/>
        </w:rPr>
        <w:t>(4)  Development consent must not be granted to the following development on land to which this Plan applies unless an architectural design competition that is consistent with the Design Excellence Guidelines has been held in relation to the proposed development—</w:t>
      </w:r>
    </w:p>
    <w:p>
      <w:pPr>
        <w:pStyle w:val="CaselawQuote0"/>
        <w:spacing w:before="150" w:after="150"/>
        <w:ind w:left="2100"/>
        <w:jc w:val="left"/>
      </w:pPr>
      <w:r>
        <w:rPr>
          <w:rFonts w:ascii="Arial"/>
          <w:color w:val="000000"/>
          <w:sz w:val="22"/>
        </w:rPr>
        <w:t>(a)  development having a capital value of more than $2,000,000 on land identified as “Key Sites” on the Key Sites Map,</w:t>
      </w:r>
    </w:p>
    <w:p>
      <w:pPr>
        <w:pStyle w:val="CaselawQuote0"/>
        <w:spacing w:before="150" w:after="150"/>
        <w:ind w:left="2100"/>
        <w:jc w:val="left"/>
      </w:pPr>
      <w:r>
        <w:rPr>
          <w:rFonts w:ascii="Arial"/>
          <w:color w:val="000000"/>
          <w:sz w:val="22"/>
        </w:rPr>
        <w:t>(b)  development in respect of a building that is, or will be, higher than 35 metres,</w:t>
      </w:r>
    </w:p>
    <w:p>
      <w:pPr>
        <w:pStyle w:val="CaselawQuote0"/>
        <w:spacing w:before="150" w:after="150"/>
        <w:ind w:left="2100"/>
        <w:jc w:val="left"/>
      </w:pPr>
      <w:r>
        <w:rPr>
          <w:rFonts w:ascii="Arial"/>
          <w:color w:val="000000"/>
          <w:sz w:val="22"/>
        </w:rPr>
        <w:t>(c)  development for which the applicant has chosen to have such a competition.</w:t>
      </w:r>
    </w:p>
    <w:p>
      <w:pPr>
        <w:pStyle w:val="CaselawNumbered10"/>
        <w:numPr>
          <w:ilvl w:val="0"/>
          <w:numId w:val="30"/>
        </w:numPr>
        <w:spacing w:before="150" w:after="0"/>
        <w:ind w:left="600" w:hanging="600"/>
      </w:pPr>
      <w:r>
        <w:rPr>
          <w:rFonts w:ascii="Arial"/>
          <w:color w:val="000000"/>
          <w:sz w:val="24"/>
        </w:rPr>
        <w:t>The proposal is not identified on the Key Sites Map (</w:t>
      </w:r>
      <w:r>
        <w:rPr>
          <w:rFonts w:ascii="Arial"/>
          <w:color w:val="000000"/>
          <w:sz w:val="24"/>
        </w:rPr>
        <w:t>subcl</w:t>
      </w:r>
      <w:r>
        <w:rPr>
          <w:rFonts w:ascii="Arial"/>
          <w:color w:val="000000"/>
          <w:sz w:val="24"/>
        </w:rPr>
        <w:t xml:space="preserve"> </w:t>
      </w:r>
      <w:r>
        <w:rPr>
          <w:rFonts w:ascii="Arial"/>
          <w:color w:val="000000"/>
          <w:sz w:val="24"/>
        </w:rPr>
        <w:t>(4)(a))</w:t>
      </w:r>
      <w:r>
        <w:rPr>
          <w:rFonts w:ascii="Arial"/>
          <w:color w:val="000000"/>
          <w:sz w:val="24"/>
        </w:rPr>
        <w:t xml:space="preserve">, and the Applicant has chosen </w:t>
      </w:r>
      <w:r>
        <w:rPr>
          <w:rFonts w:ascii="Arial"/>
          <w:color w:val="000000"/>
          <w:sz w:val="24"/>
        </w:rPr>
        <w:t xml:space="preserve">not </w:t>
      </w:r>
      <w:r>
        <w:rPr>
          <w:rFonts w:ascii="Arial"/>
          <w:color w:val="000000"/>
          <w:sz w:val="24"/>
        </w:rPr>
        <w:t>to have a design competition (</w:t>
      </w:r>
      <w:r>
        <w:rPr>
          <w:rFonts w:ascii="Arial"/>
          <w:color w:val="000000"/>
          <w:sz w:val="24"/>
        </w:rPr>
        <w:t>subcl</w:t>
      </w:r>
      <w:r>
        <w:rPr>
          <w:rFonts w:ascii="Arial"/>
          <w:color w:val="000000"/>
          <w:sz w:val="24"/>
        </w:rPr>
        <w:t xml:space="preserve"> </w:t>
      </w:r>
      <w:r>
        <w:rPr>
          <w:rFonts w:ascii="Arial"/>
          <w:color w:val="000000"/>
          <w:sz w:val="24"/>
        </w:rPr>
        <w:t>(4)(c))</w:t>
      </w:r>
      <w:r>
        <w:rPr>
          <w:rFonts w:ascii="Arial"/>
          <w:color w:val="000000"/>
          <w:sz w:val="24"/>
        </w:rPr>
        <w:t xml:space="preserve">. Instead, the proposal is less than 35m in height </w:t>
      </w:r>
      <w:r>
        <w:rPr>
          <w:rFonts w:ascii="Arial"/>
          <w:color w:val="000000"/>
          <w:sz w:val="24"/>
        </w:rPr>
        <w:t xml:space="preserve">which has the effect of removing the prohibition on the grant of consent in accordance with </w:t>
      </w:r>
      <w:r>
        <w:rPr>
          <w:rFonts w:ascii="Arial"/>
          <w:color w:val="000000"/>
          <w:sz w:val="24"/>
        </w:rPr>
        <w:t>subcl</w:t>
      </w:r>
      <w:r>
        <w:rPr>
          <w:rFonts w:ascii="Arial"/>
          <w:color w:val="000000"/>
          <w:sz w:val="24"/>
        </w:rPr>
        <w:t xml:space="preserve"> </w:t>
      </w:r>
      <w:r>
        <w:rPr>
          <w:rFonts w:ascii="Arial"/>
          <w:color w:val="000000"/>
          <w:sz w:val="24"/>
        </w:rPr>
        <w:t>(4)(b) of the TCCLEP.</w:t>
      </w:r>
    </w:p>
    <w:p>
      <w:pPr>
        <w:pStyle w:val="CaselawNumbered10"/>
        <w:numPr>
          <w:ilvl w:val="0"/>
          <w:numId w:val="30"/>
        </w:numPr>
        <w:spacing w:before="150" w:after="0"/>
        <w:ind w:left="600" w:hanging="600"/>
      </w:pPr>
      <w:r>
        <w:rPr>
          <w:rFonts w:ascii="Arial"/>
          <w:color w:val="000000"/>
          <w:sz w:val="24"/>
        </w:rPr>
        <w:t xml:space="preserve">The experts agree, </w:t>
      </w:r>
      <w:r>
        <w:rPr>
          <w:rFonts w:ascii="Arial"/>
          <w:color w:val="000000"/>
          <w:sz w:val="24"/>
        </w:rPr>
        <w:t xml:space="preserve">as </w:t>
      </w:r>
      <w:r>
        <w:rPr>
          <w:rFonts w:ascii="Arial"/>
          <w:color w:val="000000"/>
          <w:sz w:val="24"/>
        </w:rPr>
        <w:t>I do</w:t>
      </w:r>
      <w:r>
        <w:rPr>
          <w:rFonts w:ascii="Arial"/>
          <w:color w:val="000000"/>
          <w:sz w:val="24"/>
        </w:rPr>
        <w:t>, that the</w:t>
      </w:r>
      <w:r>
        <w:rPr>
          <w:rFonts w:ascii="Arial"/>
          <w:color w:val="000000"/>
          <w:sz w:val="24"/>
        </w:rPr>
        <w:t xml:space="preserve"> </w:t>
      </w:r>
      <w:r>
        <w:rPr>
          <w:rFonts w:ascii="Arial"/>
          <w:color w:val="000000"/>
          <w:sz w:val="24"/>
        </w:rPr>
        <w:t xml:space="preserve">proposed development does not exceed 35m in height. In arriving at this agreement, the experts have identified the </w:t>
      </w:r>
      <w:r>
        <w:rPr>
          <w:rFonts w:ascii="Arial"/>
          <w:color w:val="000000"/>
          <w:sz w:val="24"/>
        </w:rPr>
        <w:t>particular location</w:t>
      </w:r>
      <w:r>
        <w:rPr>
          <w:rFonts w:ascii="Arial"/>
          <w:color w:val="000000"/>
          <w:sz w:val="24"/>
        </w:rPr>
        <w:t xml:space="preserve"> </w:t>
      </w:r>
      <w:r>
        <w:rPr>
          <w:rFonts w:ascii="Arial"/>
          <w:color w:val="000000"/>
          <w:sz w:val="24"/>
        </w:rPr>
        <w:t>through which the Section drawing at A300 (Exhibit A) is taken, the fall of the land, and the</w:t>
      </w:r>
      <w:r>
        <w:rPr>
          <w:rFonts w:ascii="Arial"/>
          <w:color w:val="000000"/>
          <w:sz w:val="24"/>
        </w:rPr>
        <w:t xml:space="preserve"> </w:t>
      </w:r>
      <w:r>
        <w:rPr>
          <w:rFonts w:ascii="Arial"/>
          <w:color w:val="000000"/>
          <w:sz w:val="24"/>
        </w:rPr>
        <w:t>fact that the</w:t>
      </w:r>
      <w:r>
        <w:rPr>
          <w:rFonts w:ascii="Arial"/>
          <w:color w:val="000000"/>
          <w:sz w:val="24"/>
        </w:rPr>
        <w:t xml:space="preserve"> </w:t>
      </w:r>
      <w:r>
        <w:rPr>
          <w:rFonts w:ascii="Arial"/>
          <w:color w:val="000000"/>
          <w:sz w:val="24"/>
        </w:rPr>
        <w:t>lift overrun is depicted in elevation and not in section.</w:t>
      </w:r>
      <w:r>
        <w:rPr>
          <w:rFonts w:ascii="Arial"/>
          <w:color w:val="000000"/>
          <w:sz w:val="24"/>
        </w:rPr>
        <w:t xml:space="preserve"> </w:t>
      </w:r>
      <w:r>
        <w:rPr>
          <w:rFonts w:ascii="Arial"/>
          <w:color w:val="000000"/>
          <w:sz w:val="24"/>
        </w:rPr>
        <w:t>Accordingly, n</w:t>
      </w:r>
      <w:r>
        <w:rPr>
          <w:rFonts w:ascii="Arial"/>
          <w:color w:val="000000"/>
          <w:sz w:val="24"/>
        </w:rPr>
        <w:t>o part of the proposal exceeds 35m in height</w:t>
      </w:r>
      <w:r>
        <w:rPr>
          <w:rFonts w:ascii="Arial"/>
          <w:color w:val="000000"/>
          <w:sz w:val="24"/>
        </w:rPr>
        <w:t>.</w:t>
      </w:r>
    </w:p>
    <w:p>
      <w:pPr>
        <w:pStyle w:val="CaselawNumbered10"/>
        <w:numPr>
          <w:ilvl w:val="0"/>
          <w:numId w:val="30"/>
        </w:numPr>
        <w:spacing w:before="150" w:after="0"/>
        <w:ind w:left="600" w:hanging="600"/>
      </w:pPr>
      <w:r>
        <w:rPr>
          <w:rFonts w:ascii="Arial"/>
          <w:color w:val="000000"/>
          <w:sz w:val="24"/>
        </w:rPr>
        <w:t xml:space="preserve">Likewise, there is no dispute that the </w:t>
      </w:r>
      <w:r>
        <w:rPr>
          <w:rFonts w:ascii="Arial"/>
          <w:color w:val="000000"/>
          <w:sz w:val="24"/>
        </w:rPr>
        <w:t>floor space ratio (FSR) of the proposal is less</w:t>
      </w:r>
      <w:r>
        <w:rPr>
          <w:rFonts w:ascii="Arial"/>
          <w:color w:val="000000"/>
          <w:sz w:val="24"/>
        </w:rPr>
        <w:t xml:space="preserve"> </w:t>
      </w:r>
      <w:r>
        <w:rPr>
          <w:rFonts w:ascii="Arial"/>
          <w:color w:val="000000"/>
          <w:sz w:val="24"/>
        </w:rPr>
        <w:t>than</w:t>
      </w:r>
      <w:r>
        <w:rPr>
          <w:rFonts w:ascii="Arial"/>
          <w:color w:val="000000"/>
          <w:sz w:val="24"/>
        </w:rPr>
        <w:t xml:space="preserve"> </w:t>
      </w:r>
      <w:r>
        <w:rPr>
          <w:rFonts w:ascii="Arial"/>
          <w:color w:val="000000"/>
          <w:sz w:val="24"/>
        </w:rPr>
        <w:t xml:space="preserve">the </w:t>
      </w:r>
      <w:r>
        <w:rPr>
          <w:rFonts w:ascii="Arial"/>
          <w:color w:val="000000"/>
          <w:sz w:val="24"/>
        </w:rPr>
        <w:t xml:space="preserve">development standard of 4.5:1 </w:t>
      </w:r>
      <w:r>
        <w:rPr>
          <w:rFonts w:ascii="Arial"/>
          <w:color w:val="000000"/>
          <w:sz w:val="24"/>
        </w:rPr>
        <w:t xml:space="preserve">permitted by </w:t>
      </w:r>
      <w:r>
        <w:rPr>
          <w:rFonts w:ascii="Arial"/>
          <w:color w:val="000000"/>
          <w:sz w:val="24"/>
        </w:rPr>
        <w:t>cl 4.4 of the TCCLEP.</w:t>
      </w:r>
      <w:r>
        <w:rPr>
          <w:rFonts w:ascii="Arial"/>
          <w:color w:val="000000"/>
          <w:sz w:val="24"/>
        </w:rPr>
        <w:t xml:space="preserve"> </w:t>
      </w:r>
      <w:r>
        <w:rPr>
          <w:rFonts w:ascii="Arial"/>
          <w:color w:val="000000"/>
          <w:sz w:val="24"/>
        </w:rPr>
        <w:t>At</w:t>
      </w:r>
      <w:r>
        <w:rPr>
          <w:rFonts w:ascii="Arial"/>
          <w:color w:val="000000"/>
          <w:sz w:val="24"/>
        </w:rPr>
        <w:t xml:space="preserve"> </w:t>
      </w:r>
      <w:r>
        <w:rPr>
          <w:rFonts w:ascii="Arial"/>
          <w:color w:val="000000"/>
          <w:sz w:val="24"/>
        </w:rPr>
        <w:t xml:space="preserve">the commencement of the hearing, the FSR was expressed as </w:t>
      </w:r>
      <w:r>
        <w:rPr>
          <w:rFonts w:ascii="Arial"/>
          <w:color w:val="000000"/>
          <w:sz w:val="24"/>
        </w:rPr>
        <w:t>3.32</w:t>
      </w:r>
      <w:r>
        <w:rPr>
          <w:rFonts w:ascii="Arial"/>
          <w:color w:val="000000"/>
          <w:sz w:val="24"/>
        </w:rPr>
        <w:t xml:space="preserve">:1. However, </w:t>
      </w:r>
      <w:r>
        <w:rPr>
          <w:rFonts w:ascii="Arial"/>
          <w:color w:val="000000"/>
          <w:sz w:val="24"/>
        </w:rPr>
        <w:t>due to amendments made late in the proceedings, and described at [</w:t>
      </w:r>
      <w:hyperlink r:id="rId17">
        <w:r>
          <w:rPr>
            <w:rFonts w:ascii="Arial"/>
            <w:color w:val="000000"/>
            <w:sz w:val="24"/>
            <w:u w:val="single"/>
          </w:rPr>
          <w:t/>
        </w:r>
        <w:r>
          <w:rPr>
            <w:rFonts w:ascii="Arial"/>
            <w:color w:val="000000"/>
            <w:sz w:val="24"/>
          </w:rPr>
          <w:t>64</w:t>
        </w:r>
      </w:hyperlink>
      <w:hyperlink r:id="rId18">
        <w:r>
          <w:rPr>
            <w:rFonts w:ascii="Arial"/>
            <w:color w:val="000000"/>
            <w:sz w:val="24"/>
          </w:rPr>
          <w:t/>
        </w:r>
      </w:hyperlink>
      <w:r>
        <w:rPr>
          <w:rFonts w:ascii="Arial"/>
          <w:color w:val="000000"/>
          <w:sz w:val="24"/>
        </w:rPr>
        <w:t>]-[</w:t>
      </w:r>
      <w:hyperlink r:id="rId19">
        <w:r>
          <w:rPr>
            <w:rFonts w:ascii="Arial"/>
            <w:color w:val="000000"/>
            <w:sz w:val="24"/>
            <w:u w:val="single"/>
          </w:rPr>
          <w:t/>
        </w:r>
        <w:r>
          <w:rPr>
            <w:rFonts w:ascii="Arial"/>
            <w:color w:val="000000"/>
            <w:sz w:val="24"/>
          </w:rPr>
          <w:t>69</w:t>
        </w:r>
      </w:hyperlink>
      <w:hyperlink r:id="rId20">
        <w:r>
          <w:rPr>
            <w:rFonts w:ascii="Arial"/>
            <w:color w:val="000000"/>
            <w:sz w:val="24"/>
          </w:rPr>
          <w:t/>
        </w:r>
      </w:hyperlink>
      <w:r>
        <w:rPr>
          <w:rFonts w:ascii="Arial"/>
          <w:color w:val="000000"/>
          <w:sz w:val="24"/>
        </w:rPr>
        <w:t xml:space="preserve">], the FSR at the close of proceedings is expressed as </w:t>
      </w:r>
      <w:r>
        <w:rPr>
          <w:rFonts w:ascii="Arial"/>
          <w:color w:val="000000"/>
          <w:sz w:val="24"/>
        </w:rPr>
        <w:t>3.3</w:t>
      </w:r>
      <w:r>
        <w:rPr>
          <w:rFonts w:ascii="Arial"/>
          <w:color w:val="000000"/>
          <w:sz w:val="24"/>
        </w:rPr>
        <w:t>5</w:t>
      </w:r>
      <w:r>
        <w:rPr>
          <w:rFonts w:ascii="Arial"/>
          <w:color w:val="000000"/>
          <w:sz w:val="24"/>
        </w:rPr>
        <w:t>:1.</w:t>
      </w:r>
    </w:p>
    <w:p>
      <w:pPr>
        <w:pStyle w:val="CaselawNumbered10"/>
        <w:numPr>
          <w:ilvl w:val="0"/>
          <w:numId w:val="30"/>
        </w:numPr>
        <w:spacing w:before="150" w:after="0"/>
        <w:ind w:left="600" w:hanging="600"/>
      </w:pPr>
      <w:r>
        <w:rPr>
          <w:rFonts w:ascii="Arial"/>
          <w:color w:val="000000"/>
          <w:sz w:val="24"/>
        </w:rPr>
        <w:t xml:space="preserve">The site is identified </w:t>
      </w:r>
      <w:r>
        <w:rPr>
          <w:rFonts w:ascii="Arial"/>
          <w:color w:val="000000"/>
          <w:sz w:val="24"/>
        </w:rPr>
        <w:t xml:space="preserve">as Class 5 </w:t>
      </w:r>
      <w:r>
        <w:rPr>
          <w:rFonts w:ascii="Arial"/>
          <w:color w:val="000000"/>
          <w:sz w:val="24"/>
        </w:rPr>
        <w:t xml:space="preserve">on the Acid </w:t>
      </w:r>
      <w:r>
        <w:rPr>
          <w:rFonts w:ascii="Arial"/>
          <w:color w:val="000000"/>
          <w:sz w:val="24"/>
        </w:rPr>
        <w:t>Sulfate</w:t>
      </w:r>
      <w:r>
        <w:rPr>
          <w:rFonts w:ascii="Arial"/>
          <w:color w:val="000000"/>
          <w:sz w:val="24"/>
        </w:rPr>
        <w:t xml:space="preserve"> </w:t>
      </w:r>
      <w:r>
        <w:rPr>
          <w:rFonts w:ascii="Arial"/>
          <w:color w:val="000000"/>
          <w:sz w:val="24"/>
        </w:rPr>
        <w:t>Soils Map at cl 6.1 of the TCCLEP</w:t>
      </w:r>
      <w:r>
        <w:rPr>
          <w:rFonts w:ascii="Arial"/>
          <w:color w:val="000000"/>
          <w:sz w:val="24"/>
        </w:rPr>
        <w:t>, and is located within</w:t>
      </w:r>
      <w:r>
        <w:rPr>
          <w:rFonts w:ascii="Arial"/>
          <w:color w:val="000000"/>
          <w:sz w:val="24"/>
        </w:rPr>
        <w:t xml:space="preserve"> </w:t>
      </w:r>
      <w:r>
        <w:rPr>
          <w:rFonts w:ascii="Arial"/>
          <w:color w:val="000000"/>
          <w:sz w:val="24"/>
        </w:rPr>
        <w:t>500m of adjacent Class 2</w:t>
      </w:r>
      <w:r>
        <w:rPr>
          <w:rFonts w:ascii="Arial"/>
          <w:color w:val="000000"/>
          <w:sz w:val="24"/>
        </w:rPr>
        <w:t>,</w:t>
      </w:r>
      <w:r>
        <w:rPr>
          <w:rFonts w:ascii="Arial"/>
          <w:color w:val="000000"/>
          <w:sz w:val="24"/>
        </w:rPr>
        <w:t xml:space="preserve"> </w:t>
      </w:r>
      <w:r>
        <w:rPr>
          <w:rFonts w:ascii="Arial"/>
          <w:color w:val="000000"/>
          <w:sz w:val="24"/>
        </w:rPr>
        <w:t xml:space="preserve">that is </w:t>
      </w:r>
      <w:r>
        <w:rPr>
          <w:rFonts w:ascii="Arial"/>
          <w:color w:val="000000"/>
          <w:sz w:val="24"/>
        </w:rPr>
        <w:t>below 5 metres Australian Height Datum</w:t>
      </w:r>
      <w:r>
        <w:rPr>
          <w:rFonts w:ascii="Arial"/>
          <w:color w:val="000000"/>
          <w:sz w:val="24"/>
        </w:rPr>
        <w:t>, according to the site survey (Exhibit L)</w:t>
      </w:r>
      <w:r>
        <w:rPr>
          <w:rFonts w:ascii="Arial"/>
          <w:color w:val="000000"/>
          <w:sz w:val="24"/>
        </w:rPr>
        <w:t xml:space="preserve">. </w:t>
      </w:r>
      <w:r>
        <w:rPr>
          <w:rFonts w:ascii="Arial"/>
          <w:color w:val="000000"/>
          <w:sz w:val="24"/>
        </w:rPr>
        <w:t xml:space="preserve">I accept the conclusions of the Acid </w:t>
      </w:r>
      <w:r>
        <w:rPr>
          <w:rFonts w:ascii="Arial"/>
          <w:color w:val="000000"/>
          <w:sz w:val="24"/>
        </w:rPr>
        <w:t>Sulfate</w:t>
      </w:r>
      <w:r>
        <w:rPr>
          <w:rFonts w:ascii="Arial"/>
          <w:color w:val="000000"/>
          <w:sz w:val="24"/>
        </w:rPr>
        <w:t xml:space="preserve"> </w:t>
      </w:r>
      <w:r>
        <w:rPr>
          <w:rFonts w:ascii="Arial"/>
          <w:color w:val="000000"/>
          <w:sz w:val="24"/>
        </w:rPr>
        <w:t xml:space="preserve">Soils </w:t>
      </w:r>
      <w:r>
        <w:rPr>
          <w:rFonts w:ascii="Arial"/>
          <w:color w:val="000000"/>
          <w:sz w:val="24"/>
        </w:rPr>
        <w:t xml:space="preserve">Assessment, prepared by </w:t>
      </w:r>
      <w:r>
        <w:rPr>
          <w:rFonts w:ascii="Arial"/>
          <w:color w:val="000000"/>
          <w:sz w:val="24"/>
        </w:rPr>
        <w:t>EI Australia</w:t>
      </w:r>
      <w:r>
        <w:rPr>
          <w:rFonts w:ascii="Arial"/>
          <w:color w:val="000000"/>
          <w:sz w:val="24"/>
        </w:rPr>
        <w:t xml:space="preserve"> </w:t>
      </w:r>
      <w:r>
        <w:rPr>
          <w:rFonts w:ascii="Arial"/>
          <w:color w:val="000000"/>
          <w:sz w:val="24"/>
        </w:rPr>
        <w:t xml:space="preserve">dated </w:t>
      </w:r>
      <w:r>
        <w:rPr>
          <w:rFonts w:ascii="Arial"/>
          <w:color w:val="000000"/>
          <w:sz w:val="24"/>
        </w:rPr>
        <w:t>16 June 2022</w:t>
      </w:r>
      <w:r>
        <w:rPr>
          <w:rFonts w:ascii="Arial"/>
          <w:color w:val="000000"/>
          <w:sz w:val="24"/>
        </w:rPr>
        <w:t xml:space="preserve"> </w:t>
      </w:r>
      <w:r>
        <w:rPr>
          <w:rFonts w:ascii="Arial"/>
          <w:color w:val="000000"/>
          <w:sz w:val="24"/>
        </w:rPr>
        <w:t>(Exhibit U)</w:t>
      </w:r>
      <w:r>
        <w:rPr>
          <w:rFonts w:ascii="Arial"/>
          <w:color w:val="000000"/>
          <w:sz w:val="24"/>
        </w:rPr>
        <w:t xml:space="preserve"> </w:t>
      </w:r>
      <w:r>
        <w:rPr>
          <w:rFonts w:ascii="Arial"/>
          <w:color w:val="000000"/>
          <w:sz w:val="24"/>
        </w:rPr>
        <w:t xml:space="preserve">that </w:t>
      </w:r>
      <w:r>
        <w:rPr>
          <w:rFonts w:ascii="Arial"/>
          <w:color w:val="000000"/>
          <w:sz w:val="24"/>
        </w:rPr>
        <w:t>confirms laboratory testing</w:t>
      </w:r>
      <w:r>
        <w:rPr>
          <w:rFonts w:ascii="Arial"/>
          <w:color w:val="000000"/>
          <w:sz w:val="24"/>
        </w:rPr>
        <w:t xml:space="preserve"> </w:t>
      </w:r>
      <w:r>
        <w:rPr>
          <w:rFonts w:ascii="Arial"/>
          <w:color w:val="000000"/>
          <w:sz w:val="24"/>
        </w:rPr>
        <w:t xml:space="preserve">of samples taken from the site did not identify actual or potential Acid </w:t>
      </w:r>
      <w:r>
        <w:rPr>
          <w:rFonts w:ascii="Arial"/>
          <w:color w:val="000000"/>
          <w:sz w:val="24"/>
        </w:rPr>
        <w:t>Sulfate</w:t>
      </w:r>
      <w:r>
        <w:rPr>
          <w:rFonts w:ascii="Arial"/>
          <w:color w:val="000000"/>
          <w:sz w:val="24"/>
        </w:rPr>
        <w:t xml:space="preserve"> </w:t>
      </w:r>
      <w:r>
        <w:rPr>
          <w:rFonts w:ascii="Arial"/>
          <w:color w:val="000000"/>
          <w:sz w:val="24"/>
        </w:rPr>
        <w:t>Soils</w:t>
      </w:r>
      <w:r>
        <w:rPr>
          <w:rFonts w:ascii="Arial"/>
          <w:color w:val="000000"/>
          <w:sz w:val="24"/>
        </w:rPr>
        <w:t>, that are underlain by weathered silt and sandstone.</w:t>
      </w:r>
    </w:p>
    <w:p>
      <w:pPr>
        <w:pStyle w:val="CaselawHeading3"/>
        <w:keepNext/>
        <w:spacing w:before="150" w:after="150" w:line="264"/>
        <w:ind w:left="0"/>
        <w:jc w:val="left"/>
      </w:pPr>
      <w:r>
        <w:rPr>
          <w:rFonts w:ascii="Arial"/>
        </w:rPr>
        <w:t xml:space="preserve">Whether the proposed development exhibits design excellence </w:t>
      </w:r>
    </w:p>
    <w:p>
      <w:pPr>
        <w:pStyle w:val="CaselawNumbered10"/>
        <w:numPr>
          <w:ilvl w:val="0"/>
          <w:numId w:val="31"/>
        </w:numPr>
        <w:spacing w:before="150" w:after="0"/>
        <w:ind w:left="600" w:hanging="600"/>
      </w:pPr>
      <w:r>
        <w:rPr>
          <w:rFonts w:ascii="Arial"/>
          <w:color w:val="000000"/>
          <w:sz w:val="24"/>
        </w:rPr>
        <w:t xml:space="preserve">Clause 6.10 of the TCCLEP </w:t>
      </w:r>
      <w:r>
        <w:rPr>
          <w:rFonts w:ascii="Arial"/>
          <w:color w:val="000000"/>
          <w:sz w:val="24"/>
        </w:rPr>
        <w:t xml:space="preserve">applies </w:t>
      </w:r>
      <w:r>
        <w:rPr>
          <w:rFonts w:ascii="Arial"/>
          <w:color w:val="000000"/>
          <w:sz w:val="24"/>
        </w:rPr>
        <w:t>to development involving the erection of a new building</w:t>
      </w:r>
      <w:r>
        <w:rPr>
          <w:rFonts w:ascii="Arial"/>
          <w:color w:val="000000"/>
          <w:sz w:val="24"/>
        </w:rPr>
        <w:t xml:space="preserve"> </w:t>
      </w:r>
      <w:r>
        <w:rPr>
          <w:rFonts w:ascii="Arial"/>
          <w:color w:val="000000"/>
          <w:sz w:val="24"/>
        </w:rPr>
        <w:t xml:space="preserve">for which </w:t>
      </w:r>
      <w:r>
        <w:rPr>
          <w:rFonts w:ascii="Arial"/>
          <w:color w:val="000000"/>
          <w:sz w:val="24"/>
        </w:rPr>
        <w:t>consent must not be granted unless the consent authority considers that the development exhibits design excellenc</w:t>
      </w:r>
      <w:r>
        <w:rPr>
          <w:rFonts w:ascii="Arial"/>
          <w:color w:val="000000"/>
          <w:sz w:val="24"/>
        </w:rPr>
        <w:t>e.</w:t>
      </w:r>
      <w:r>
        <w:rPr>
          <w:rFonts w:ascii="Arial"/>
          <w:color w:val="000000"/>
          <w:sz w:val="24"/>
        </w:rPr>
        <w:t xml:space="preserve"> </w:t>
      </w:r>
    </w:p>
    <w:p>
      <w:pPr>
        <w:pStyle w:val="CaselawNumbered10"/>
        <w:numPr>
          <w:ilvl w:val="0"/>
          <w:numId w:val="31"/>
        </w:numPr>
        <w:spacing w:before="150" w:after="0"/>
        <w:ind w:left="600" w:hanging="600"/>
      </w:pPr>
      <w:r>
        <w:rPr>
          <w:rFonts w:ascii="Arial"/>
          <w:color w:val="000000"/>
          <w:sz w:val="24"/>
        </w:rPr>
        <w:t xml:space="preserve">The operative provision at cl 6.10 of the TCCLEP is found at </w:t>
      </w:r>
      <w:r>
        <w:rPr>
          <w:rFonts w:ascii="Arial"/>
          <w:color w:val="000000"/>
          <w:sz w:val="24"/>
        </w:rPr>
        <w:t>subcl</w:t>
      </w:r>
      <w:r>
        <w:rPr>
          <w:rFonts w:ascii="Arial"/>
          <w:color w:val="000000"/>
          <w:sz w:val="24"/>
        </w:rPr>
        <w:t xml:space="preserve"> </w:t>
      </w:r>
      <w:r>
        <w:rPr>
          <w:rFonts w:ascii="Arial"/>
          <w:color w:val="000000"/>
          <w:sz w:val="24"/>
        </w:rPr>
        <w:t>(2), in the following terms:</w:t>
      </w:r>
    </w:p>
    <w:p>
      <w:pPr>
        <w:pStyle w:val="CaselawQuote"/>
        <w:spacing w:before="150" w:after="150"/>
        <w:ind w:left="1350"/>
        <w:jc w:val="left"/>
      </w:pPr>
      <w:r>
        <w:rPr>
          <w:rFonts w:ascii="Arial"/>
          <w:color w:val="000000"/>
          <w:sz w:val="22"/>
        </w:rPr>
        <w:t>(2)</w:t>
      </w:r>
      <w:r>
        <w:rPr>
          <w:rFonts w:ascii="Arial"/>
          <w:color w:val="000000"/>
          <w:sz w:val="22"/>
        </w:rPr>
        <w:t>  Development consent must not be granted to development to which this clause applies unless, in the opinion of the consent authority, the proposed development exhibits design excellence.</w:t>
      </w:r>
    </w:p>
    <w:p>
      <w:pPr>
        <w:pStyle w:val="CaselawNumbered10"/>
        <w:numPr>
          <w:ilvl w:val="0"/>
          <w:numId w:val="32"/>
        </w:numPr>
        <w:spacing w:before="150" w:after="0"/>
        <w:ind w:left="600" w:hanging="600"/>
      </w:pPr>
      <w:r>
        <w:rPr>
          <w:rFonts w:ascii="Arial"/>
          <w:color w:val="000000"/>
          <w:sz w:val="24"/>
        </w:rPr>
        <w:t xml:space="preserve">The means by which the opinion at </w:t>
      </w:r>
      <w:r>
        <w:rPr>
          <w:rFonts w:ascii="Arial"/>
          <w:color w:val="000000"/>
          <w:sz w:val="24"/>
        </w:rPr>
        <w:t>subcl</w:t>
      </w:r>
      <w:r>
        <w:rPr>
          <w:rFonts w:ascii="Arial"/>
          <w:color w:val="000000"/>
          <w:sz w:val="24"/>
        </w:rPr>
        <w:t xml:space="preserve"> </w:t>
      </w:r>
      <w:r>
        <w:rPr>
          <w:rFonts w:ascii="Arial"/>
          <w:color w:val="000000"/>
          <w:sz w:val="24"/>
        </w:rPr>
        <w:t xml:space="preserve">(2) is to be formed, is after consideration of those matters at </w:t>
      </w:r>
      <w:r>
        <w:rPr>
          <w:rFonts w:ascii="Arial"/>
          <w:color w:val="000000"/>
          <w:sz w:val="24"/>
        </w:rPr>
        <w:t>subcl</w:t>
      </w:r>
      <w:r>
        <w:rPr>
          <w:rFonts w:ascii="Arial"/>
          <w:color w:val="000000"/>
          <w:sz w:val="24"/>
        </w:rPr>
        <w:t xml:space="preserve"> </w:t>
      </w:r>
      <w:r>
        <w:rPr>
          <w:rFonts w:ascii="Arial"/>
          <w:color w:val="000000"/>
          <w:sz w:val="24"/>
        </w:rPr>
        <w:t>(3).</w:t>
      </w:r>
    </w:p>
    <w:p>
      <w:pPr>
        <w:pStyle w:val="CaselawNumbered10"/>
        <w:numPr>
          <w:ilvl w:val="0"/>
          <w:numId w:val="32"/>
        </w:numPr>
        <w:spacing w:before="150" w:after="0"/>
        <w:ind w:left="600" w:hanging="600"/>
      </w:pPr>
      <w:r>
        <w:rPr>
          <w:rFonts w:ascii="Arial"/>
          <w:color w:val="000000"/>
          <w:sz w:val="24"/>
        </w:rPr>
        <w:t>Clause 6.10(3) of the TCCLEP is in the following terms:</w:t>
      </w:r>
    </w:p>
    <w:p>
      <w:pPr>
        <w:pStyle w:val="CaselawQuote"/>
        <w:spacing w:before="150" w:after="150"/>
        <w:ind w:left="1350"/>
        <w:jc w:val="left"/>
      </w:pPr>
      <w:r>
        <w:rPr>
          <w:rFonts w:ascii="Arial"/>
          <w:color w:val="000000"/>
          <w:sz w:val="22"/>
        </w:rPr>
        <w:t>(3)  In considering whether the development exhibits design excellence, the consent authority must have regard to the following matters—</w:t>
      </w:r>
    </w:p>
    <w:p>
      <w:pPr>
        <w:pStyle w:val="CaselawQuote0"/>
        <w:spacing w:before="150" w:after="150"/>
        <w:ind w:left="2100"/>
        <w:jc w:val="left"/>
      </w:pPr>
      <w:r>
        <w:rPr>
          <w:rFonts w:ascii="Arial"/>
          <w:color w:val="000000"/>
          <w:sz w:val="22"/>
        </w:rPr>
        <w:t>(a)  whether a high standard of architectural design, materials and detailing appropriate to the building type and location will be achieved,</w:t>
      </w:r>
    </w:p>
    <w:p>
      <w:pPr>
        <w:pStyle w:val="CaselawQuote0"/>
        <w:spacing w:before="150" w:after="150"/>
        <w:ind w:left="2100"/>
        <w:jc w:val="left"/>
      </w:pPr>
      <w:r>
        <w:rPr>
          <w:rFonts w:ascii="Arial"/>
          <w:color w:val="000000"/>
          <w:sz w:val="22"/>
        </w:rPr>
        <w:t>(b)  whether the form and external appearance of the development will improve the quality and amenity of the public domain,</w:t>
      </w:r>
    </w:p>
    <w:p>
      <w:pPr>
        <w:pStyle w:val="CaselawQuote0"/>
        <w:spacing w:before="150" w:after="150"/>
        <w:ind w:left="2100"/>
        <w:jc w:val="left"/>
      </w:pPr>
      <w:r>
        <w:rPr>
          <w:rFonts w:ascii="Arial"/>
          <w:color w:val="000000"/>
          <w:sz w:val="22"/>
        </w:rPr>
        <w:t>(c)  whether the development detrimentally impacts on view corridors,</w:t>
      </w:r>
    </w:p>
    <w:p>
      <w:pPr>
        <w:pStyle w:val="CaselawQuote0"/>
        <w:spacing w:before="150" w:after="150"/>
        <w:ind w:left="2100"/>
        <w:jc w:val="left"/>
      </w:pPr>
      <w:r>
        <w:rPr>
          <w:rFonts w:ascii="Arial"/>
          <w:color w:val="000000"/>
          <w:sz w:val="22"/>
        </w:rPr>
        <w:t>(d)  the requirements of the Tweed City Centre DCP,</w:t>
      </w:r>
    </w:p>
    <w:p>
      <w:pPr>
        <w:pStyle w:val="CaselawQuote0"/>
        <w:spacing w:before="150" w:after="150"/>
        <w:ind w:left="2100"/>
        <w:jc w:val="left"/>
      </w:pPr>
      <w:r>
        <w:rPr>
          <w:rFonts w:ascii="Arial"/>
          <w:color w:val="000000"/>
          <w:sz w:val="22"/>
        </w:rPr>
        <w:t>(e)  how the development addresses the following matters—</w:t>
      </w:r>
    </w:p>
    <w:p>
      <w:pPr>
        <w:pStyle w:val="CaselawQuote1"/>
        <w:spacing w:before="150" w:after="150"/>
        <w:ind w:left="2850"/>
        <w:jc w:val="left"/>
      </w:pPr>
      <w:r>
        <w:rPr>
          <w:rFonts w:ascii="Arial"/>
          <w:color w:val="000000"/>
          <w:sz w:val="22"/>
        </w:rPr>
        <w:t>(i)  the suitability of the land for development,</w:t>
      </w:r>
    </w:p>
    <w:p>
      <w:pPr>
        <w:pStyle w:val="CaselawQuote1"/>
        <w:spacing w:before="150" w:after="150"/>
        <w:ind w:left="2850"/>
        <w:jc w:val="left"/>
      </w:pPr>
      <w:r>
        <w:rPr>
          <w:rFonts w:ascii="Arial"/>
          <w:color w:val="000000"/>
          <w:sz w:val="22"/>
        </w:rPr>
        <w:t>(ii)  existing and proposed uses and use mix,</w:t>
      </w:r>
    </w:p>
    <w:p>
      <w:pPr>
        <w:pStyle w:val="CaselawQuote1"/>
        <w:spacing w:before="150" w:after="150"/>
        <w:ind w:left="2850"/>
        <w:jc w:val="left"/>
      </w:pPr>
      <w:r>
        <w:rPr>
          <w:rFonts w:ascii="Arial"/>
          <w:color w:val="000000"/>
          <w:sz w:val="22"/>
        </w:rPr>
        <w:t>(iii)  heritage issues and streetscape constraints,</w:t>
      </w:r>
    </w:p>
    <w:p>
      <w:pPr>
        <w:pStyle w:val="CaselawQuote1"/>
        <w:spacing w:before="150" w:after="150"/>
        <w:ind w:left="2850"/>
        <w:jc w:val="left"/>
      </w:pPr>
      <w:r>
        <w:rPr>
          <w:rFonts w:ascii="Arial"/>
          <w:color w:val="000000"/>
          <w:sz w:val="22"/>
        </w:rPr>
        <w:t xml:space="preserve">(iv)  the relationship of the development with other development (existing or proposed) on the same site or on neighbouring sites in terms of separation, setbacks, </w:t>
      </w:r>
      <w:r>
        <w:rPr>
          <w:rFonts w:ascii="Arial"/>
          <w:color w:val="000000"/>
          <w:sz w:val="22"/>
        </w:rPr>
        <w:t>amenity</w:t>
      </w:r>
      <w:r>
        <w:rPr>
          <w:rFonts w:ascii="Arial"/>
          <w:color w:val="000000"/>
          <w:sz w:val="22"/>
        </w:rPr>
        <w:t xml:space="preserve"> and urban form,</w:t>
      </w:r>
    </w:p>
    <w:p>
      <w:pPr>
        <w:pStyle w:val="CaselawQuote1"/>
        <w:spacing w:before="150" w:after="150"/>
        <w:ind w:left="2850"/>
        <w:jc w:val="left"/>
      </w:pPr>
      <w:r>
        <w:rPr>
          <w:rFonts w:ascii="Arial"/>
          <w:color w:val="000000"/>
          <w:sz w:val="22"/>
        </w:rPr>
        <w:t xml:space="preserve">(v)  bulk, </w:t>
      </w:r>
      <w:r>
        <w:rPr>
          <w:rFonts w:ascii="Arial"/>
          <w:color w:val="000000"/>
          <w:sz w:val="22"/>
        </w:rPr>
        <w:t>massing</w:t>
      </w:r>
      <w:r>
        <w:rPr>
          <w:rFonts w:ascii="Arial"/>
          <w:color w:val="000000"/>
          <w:sz w:val="22"/>
        </w:rPr>
        <w:t xml:space="preserve"> and modulation of buildings,</w:t>
      </w:r>
    </w:p>
    <w:p>
      <w:pPr>
        <w:pStyle w:val="CaselawQuote1"/>
        <w:spacing w:before="150" w:after="150"/>
        <w:ind w:left="2850"/>
        <w:jc w:val="left"/>
      </w:pPr>
      <w:r>
        <w:rPr>
          <w:rFonts w:ascii="Arial"/>
          <w:color w:val="000000"/>
          <w:sz w:val="22"/>
        </w:rPr>
        <w:t>(vi)  street frontage heights,</w:t>
      </w:r>
    </w:p>
    <w:p>
      <w:pPr>
        <w:pStyle w:val="CaselawQuote1"/>
        <w:spacing w:before="150" w:after="150"/>
        <w:ind w:left="2850"/>
        <w:jc w:val="left"/>
      </w:pPr>
      <w:r>
        <w:rPr>
          <w:rFonts w:ascii="Arial"/>
          <w:color w:val="000000"/>
          <w:sz w:val="22"/>
        </w:rPr>
        <w:t>(vii)  solar access controls,</w:t>
      </w:r>
    </w:p>
    <w:p>
      <w:pPr>
        <w:pStyle w:val="CaselawQuote1"/>
        <w:spacing w:before="150" w:after="150"/>
        <w:ind w:left="2850"/>
        <w:jc w:val="left"/>
      </w:pPr>
      <w:r>
        <w:rPr>
          <w:rFonts w:ascii="Arial"/>
          <w:color w:val="000000"/>
          <w:sz w:val="22"/>
        </w:rPr>
        <w:t xml:space="preserve">(viii)  environmental impacts such as sustainable design, overshadowing, </w:t>
      </w:r>
      <w:r>
        <w:rPr>
          <w:rFonts w:ascii="Arial"/>
          <w:color w:val="000000"/>
          <w:sz w:val="22"/>
        </w:rPr>
        <w:t>wind</w:t>
      </w:r>
      <w:r>
        <w:rPr>
          <w:rFonts w:ascii="Arial"/>
          <w:color w:val="000000"/>
          <w:sz w:val="22"/>
        </w:rPr>
        <w:t xml:space="preserve"> and reflectivity,</w:t>
      </w:r>
    </w:p>
    <w:p>
      <w:pPr>
        <w:pStyle w:val="CaselawQuote1"/>
        <w:spacing w:before="150" w:after="150"/>
        <w:ind w:left="2850"/>
        <w:jc w:val="left"/>
      </w:pPr>
      <w:r>
        <w:rPr>
          <w:rFonts w:ascii="Arial"/>
          <w:color w:val="000000"/>
          <w:sz w:val="22"/>
        </w:rPr>
        <w:t>(ix)  the achievement of the principles of ecologically sustainable development,</w:t>
      </w:r>
    </w:p>
    <w:p>
      <w:pPr>
        <w:pStyle w:val="CaselawQuote1"/>
        <w:spacing w:before="150" w:after="150"/>
        <w:ind w:left="2850"/>
        <w:jc w:val="left"/>
      </w:pPr>
      <w:r>
        <w:rPr>
          <w:rFonts w:ascii="Arial"/>
          <w:color w:val="000000"/>
          <w:sz w:val="22"/>
        </w:rPr>
        <w:t xml:space="preserve">(x)  pedestrian, cycle, vehicular and service access, </w:t>
      </w:r>
      <w:r>
        <w:rPr>
          <w:rFonts w:ascii="Arial"/>
          <w:color w:val="000000"/>
          <w:sz w:val="22"/>
        </w:rPr>
        <w:t>circulation</w:t>
      </w:r>
      <w:r>
        <w:rPr>
          <w:rFonts w:ascii="Arial"/>
          <w:color w:val="000000"/>
          <w:sz w:val="22"/>
        </w:rPr>
        <w:t xml:space="preserve"> and requirements,</w:t>
      </w:r>
    </w:p>
    <w:p>
      <w:pPr>
        <w:pStyle w:val="CaselawQuote1"/>
        <w:spacing w:before="150" w:after="150"/>
        <w:ind w:left="2850"/>
        <w:jc w:val="left"/>
      </w:pPr>
      <w:r>
        <w:rPr>
          <w:rFonts w:ascii="Arial"/>
          <w:color w:val="000000"/>
          <w:sz w:val="22"/>
        </w:rPr>
        <w:t>(xi)  the impact on, and any proposed improvements to, the public domain.</w:t>
      </w:r>
    </w:p>
    <w:p>
      <w:pPr>
        <w:pStyle w:val="CaselawNumbered10"/>
        <w:numPr>
          <w:ilvl w:val="0"/>
          <w:numId w:val="33"/>
        </w:numPr>
        <w:spacing w:before="150" w:after="0"/>
        <w:ind w:left="600" w:hanging="600"/>
      </w:pPr>
      <w:r>
        <w:rPr>
          <w:rFonts w:ascii="Arial"/>
          <w:color w:val="000000"/>
          <w:sz w:val="24"/>
        </w:rPr>
        <w:t xml:space="preserve">The planning and urban design experts set out their agreement in Section 2(g) of the joint expert report </w:t>
      </w:r>
      <w:r>
        <w:rPr>
          <w:rFonts w:ascii="Arial"/>
          <w:color w:val="000000"/>
          <w:sz w:val="24"/>
        </w:rPr>
        <w:t>(</w:t>
      </w:r>
      <w:r>
        <w:rPr>
          <w:rFonts w:ascii="Arial"/>
          <w:color w:val="000000"/>
          <w:sz w:val="24"/>
        </w:rPr>
        <w:t>Exhibit 8</w:t>
      </w:r>
      <w:r>
        <w:rPr>
          <w:rFonts w:ascii="Arial"/>
          <w:color w:val="000000"/>
          <w:sz w:val="24"/>
        </w:rPr>
        <w:t>)</w:t>
      </w:r>
      <w:r>
        <w:rPr>
          <w:rFonts w:ascii="Arial"/>
          <w:color w:val="000000"/>
          <w:sz w:val="24"/>
        </w:rPr>
        <w:t>.</w:t>
      </w:r>
      <w:r>
        <w:rPr>
          <w:rFonts w:ascii="Arial"/>
          <w:color w:val="000000"/>
          <w:sz w:val="24"/>
        </w:rPr>
        <w:t xml:space="preserve"> </w:t>
      </w:r>
    </w:p>
    <w:p>
      <w:pPr>
        <w:pStyle w:val="CaselawNumbered10"/>
        <w:numPr>
          <w:ilvl w:val="0"/>
          <w:numId w:val="33"/>
        </w:numPr>
        <w:spacing w:before="150" w:after="0"/>
        <w:ind w:left="600" w:hanging="600"/>
      </w:pPr>
      <w:r>
        <w:rPr>
          <w:rFonts w:ascii="Arial"/>
          <w:color w:val="000000"/>
          <w:sz w:val="24"/>
        </w:rPr>
        <w:t xml:space="preserve">However, </w:t>
      </w:r>
      <w:r>
        <w:rPr>
          <w:rFonts w:ascii="Arial"/>
          <w:color w:val="000000"/>
          <w:sz w:val="24"/>
        </w:rPr>
        <w:t xml:space="preserve">as shown by Preston CJ in </w:t>
      </w:r>
      <w:r>
        <w:rPr>
          <w:rFonts w:ascii="Arial"/>
          <w:color w:val="000000"/>
          <w:sz w:val="24"/>
        </w:rPr>
        <w:t>Toga Penrith Developments Pty Limited v Penrith City Council [2022] NSWLEC 117</w:t>
      </w:r>
      <w:r>
        <w:rPr>
          <w:rFonts w:ascii="Arial"/>
          <w:color w:val="000000"/>
          <w:sz w:val="24"/>
        </w:rPr>
        <w:t xml:space="preserve"> (Toga)</w:t>
      </w:r>
      <w:r>
        <w:rPr>
          <w:rFonts w:ascii="Arial"/>
          <w:color w:val="000000"/>
          <w:sz w:val="24"/>
        </w:rPr>
        <w:t xml:space="preserve">, </w:t>
      </w:r>
      <w:r>
        <w:rPr>
          <w:rFonts w:ascii="Arial"/>
          <w:color w:val="000000"/>
          <w:sz w:val="24"/>
        </w:rPr>
        <w:t xml:space="preserve">it is not sufficient </w:t>
      </w:r>
      <w:r>
        <w:rPr>
          <w:rFonts w:ascii="Arial"/>
          <w:color w:val="000000"/>
          <w:sz w:val="24"/>
        </w:rPr>
        <w:t>f</w:t>
      </w:r>
      <w:r>
        <w:rPr>
          <w:rFonts w:ascii="Arial"/>
          <w:color w:val="000000"/>
          <w:sz w:val="24"/>
        </w:rPr>
        <w:t>or the</w:t>
      </w:r>
      <w:r>
        <w:rPr>
          <w:rFonts w:ascii="Arial"/>
          <w:color w:val="000000"/>
          <w:sz w:val="24"/>
        </w:rPr>
        <w:t> Court</w:t>
      </w:r>
      <w:r>
        <w:rPr>
          <w:rFonts w:ascii="Arial"/>
          <w:color w:val="000000"/>
          <w:sz w:val="24"/>
        </w:rPr>
        <w:t xml:space="preserve"> to form </w:t>
      </w:r>
      <w:r>
        <w:rPr>
          <w:rFonts w:ascii="Arial"/>
          <w:color w:val="000000"/>
          <w:sz w:val="24"/>
        </w:rPr>
        <w:t>an</w:t>
      </w:r>
      <w:r>
        <w:rPr>
          <w:rFonts w:ascii="Arial"/>
          <w:color w:val="000000"/>
          <w:sz w:val="24"/>
        </w:rPr>
        <w:t xml:space="preserve"> </w:t>
      </w:r>
      <w:r>
        <w:rPr>
          <w:rFonts w:ascii="Arial"/>
          <w:color w:val="000000"/>
          <w:sz w:val="24"/>
        </w:rPr>
        <w:t xml:space="preserve">opinion </w:t>
      </w:r>
      <w:r>
        <w:rPr>
          <w:rFonts w:ascii="Arial"/>
          <w:color w:val="000000"/>
          <w:sz w:val="24"/>
        </w:rPr>
        <w:t>as to whether</w:t>
      </w:r>
      <w:r>
        <w:rPr>
          <w:rFonts w:ascii="Arial"/>
          <w:color w:val="000000"/>
          <w:sz w:val="24"/>
        </w:rPr>
        <w:t xml:space="preserve"> </w:t>
      </w:r>
      <w:r>
        <w:rPr>
          <w:rFonts w:ascii="Arial"/>
          <w:color w:val="000000"/>
          <w:sz w:val="24"/>
        </w:rPr>
        <w:t xml:space="preserve">the proposed development does or does not exhibit design excellence </w:t>
      </w:r>
      <w:r>
        <w:rPr>
          <w:rFonts w:ascii="Arial"/>
          <w:color w:val="000000"/>
          <w:sz w:val="24"/>
        </w:rPr>
        <w:t>by having</w:t>
      </w:r>
      <w:r>
        <w:rPr>
          <w:rFonts w:ascii="Arial"/>
          <w:color w:val="000000"/>
          <w:sz w:val="24"/>
        </w:rPr>
        <w:t xml:space="preserve"> </w:t>
      </w:r>
      <w:r>
        <w:rPr>
          <w:rFonts w:ascii="Arial"/>
          <w:color w:val="000000"/>
          <w:sz w:val="24"/>
        </w:rPr>
        <w:t>regard</w:t>
      </w:r>
      <w:r>
        <w:rPr>
          <w:rFonts w:ascii="Arial"/>
          <w:color w:val="000000"/>
          <w:sz w:val="24"/>
        </w:rPr>
        <w:t> to the evidence of the urban design experts</w:t>
      </w:r>
      <w:r>
        <w:rPr>
          <w:rFonts w:ascii="Arial"/>
          <w:color w:val="000000"/>
          <w:sz w:val="24"/>
        </w:rPr>
        <w:t xml:space="preserve"> </w:t>
      </w:r>
      <w:r>
        <w:rPr>
          <w:rFonts w:ascii="Arial"/>
          <w:color w:val="000000"/>
          <w:sz w:val="24"/>
        </w:rPr>
        <w:t>alone</w:t>
      </w:r>
      <w:r>
        <w:rPr>
          <w:rFonts w:ascii="Arial"/>
          <w:color w:val="000000"/>
          <w:sz w:val="24"/>
        </w:rPr>
        <w:t>.</w:t>
      </w:r>
      <w:r>
        <w:rPr>
          <w:rFonts w:ascii="Arial"/>
          <w:color w:val="000000"/>
          <w:sz w:val="24"/>
        </w:rPr>
        <w:t> </w:t>
      </w:r>
      <w:r>
        <w:rPr>
          <w:rFonts w:ascii="Arial"/>
          <w:color w:val="000000"/>
          <w:sz w:val="24"/>
        </w:rPr>
        <w:t>Instead, cl 6.10</w:t>
      </w:r>
      <w:r>
        <w:rPr>
          <w:rFonts w:ascii="Arial"/>
          <w:color w:val="000000"/>
          <w:sz w:val="24"/>
        </w:rPr>
        <w:t xml:space="preserve"> </w:t>
      </w:r>
      <w:r>
        <w:rPr>
          <w:rFonts w:ascii="Arial"/>
          <w:color w:val="000000"/>
          <w:sz w:val="24"/>
        </w:rPr>
        <w:t>prescribes a framework for deciding whether a</w:t>
      </w:r>
      <w:r>
        <w:rPr>
          <w:rFonts w:ascii="Arial"/>
          <w:color w:val="000000"/>
          <w:sz w:val="24"/>
        </w:rPr>
        <w:t> development</w:t>
      </w:r>
      <w:r>
        <w:rPr>
          <w:rFonts w:ascii="Arial"/>
          <w:color w:val="000000"/>
          <w:sz w:val="24"/>
        </w:rPr>
        <w:t> exhibits design excellence</w:t>
      </w:r>
      <w:r>
        <w:rPr>
          <w:rFonts w:ascii="Arial"/>
          <w:color w:val="000000"/>
          <w:sz w:val="24"/>
        </w:rPr>
        <w:t xml:space="preserve"> </w:t>
      </w:r>
      <w:r>
        <w:rPr>
          <w:rFonts w:ascii="Arial"/>
          <w:color w:val="000000"/>
          <w:sz w:val="24"/>
        </w:rPr>
        <w:t>(</w:t>
      </w:r>
      <w:r>
        <w:rPr>
          <w:rFonts w:ascii="Arial"/>
          <w:color w:val="000000"/>
          <w:sz w:val="24"/>
        </w:rPr>
        <w:t xml:space="preserve">Toga, </w:t>
      </w:r>
      <w:r>
        <w:rPr>
          <w:rFonts w:ascii="Arial"/>
          <w:color w:val="000000"/>
          <w:sz w:val="24"/>
        </w:rPr>
        <w:t xml:space="preserve">at [70]) </w:t>
      </w:r>
      <w:r>
        <w:rPr>
          <w:rFonts w:ascii="Arial"/>
          <w:color w:val="000000"/>
          <w:sz w:val="24"/>
        </w:rPr>
        <w:t xml:space="preserve">and the Court must </w:t>
      </w:r>
      <w:r>
        <w:rPr>
          <w:rFonts w:ascii="Arial"/>
          <w:color w:val="000000"/>
          <w:sz w:val="24"/>
        </w:rPr>
        <w:t xml:space="preserve">have regard to the </w:t>
      </w:r>
      <w:r>
        <w:rPr>
          <w:rFonts w:ascii="Arial"/>
          <w:color w:val="000000"/>
          <w:sz w:val="24"/>
        </w:rPr>
        <w:t>particular terms</w:t>
      </w:r>
      <w:r>
        <w:rPr>
          <w:rFonts w:ascii="Arial"/>
          <w:color w:val="000000"/>
          <w:sz w:val="24"/>
        </w:rPr>
        <w:t xml:space="preserve"> </w:t>
      </w:r>
      <w:r>
        <w:rPr>
          <w:rFonts w:ascii="Arial"/>
          <w:color w:val="000000"/>
          <w:sz w:val="24"/>
        </w:rPr>
        <w:t>of</w:t>
      </w:r>
      <w:r>
        <w:rPr>
          <w:rFonts w:ascii="Arial"/>
          <w:color w:val="000000"/>
          <w:sz w:val="24"/>
        </w:rPr>
        <w:t>,</w:t>
      </w:r>
      <w:r>
        <w:rPr>
          <w:rFonts w:ascii="Arial"/>
          <w:color w:val="000000"/>
          <w:sz w:val="24"/>
        </w:rPr>
        <w:t xml:space="preserve"> </w:t>
      </w:r>
      <w:r>
        <w:rPr>
          <w:rFonts w:ascii="Arial"/>
          <w:color w:val="000000"/>
          <w:sz w:val="24"/>
        </w:rPr>
        <w:t>and answer the particular questions raised by</w:t>
      </w:r>
      <w:r>
        <w:rPr>
          <w:rFonts w:ascii="Arial"/>
          <w:color w:val="000000"/>
          <w:sz w:val="24"/>
        </w:rPr>
        <w:t>,</w:t>
      </w:r>
      <w:r>
        <w:rPr>
          <w:rFonts w:ascii="Arial"/>
          <w:color w:val="000000"/>
          <w:sz w:val="24"/>
        </w:rPr>
        <w:t xml:space="preserve"> </w:t>
      </w:r>
      <w:r>
        <w:rPr>
          <w:rFonts w:ascii="Arial"/>
          <w:color w:val="000000"/>
          <w:sz w:val="24"/>
        </w:rPr>
        <w:t>the</w:t>
      </w:r>
      <w:r>
        <w:rPr>
          <w:rFonts w:ascii="Arial"/>
          <w:color w:val="000000"/>
          <w:sz w:val="24"/>
        </w:rPr>
        <w:t> matters</w:t>
      </w:r>
      <w:r>
        <w:rPr>
          <w:rFonts w:ascii="Arial"/>
          <w:color w:val="000000"/>
          <w:sz w:val="24"/>
        </w:rPr>
        <w:t> in</w:t>
      </w:r>
      <w:r>
        <w:rPr>
          <w:rFonts w:ascii="Arial"/>
          <w:color w:val="000000"/>
          <w:sz w:val="24"/>
        </w:rPr>
        <w:t> </w:t>
      </w:r>
      <w:r>
        <w:rPr>
          <w:rFonts w:ascii="Arial"/>
          <w:color w:val="000000"/>
          <w:sz w:val="24"/>
        </w:rPr>
        <w:t xml:space="preserve">the design excellence provisions </w:t>
      </w:r>
      <w:r>
        <w:rPr>
          <w:rFonts w:ascii="Arial"/>
          <w:color w:val="000000"/>
          <w:sz w:val="24"/>
        </w:rPr>
        <w:t>(</w:t>
      </w:r>
      <w:r>
        <w:rPr>
          <w:rFonts w:ascii="Arial"/>
          <w:color w:val="000000"/>
          <w:sz w:val="24"/>
        </w:rPr>
        <w:t xml:space="preserve">Toga, </w:t>
      </w:r>
      <w:r>
        <w:rPr>
          <w:rFonts w:ascii="Arial"/>
          <w:color w:val="000000"/>
          <w:sz w:val="24"/>
        </w:rPr>
        <w:t>at [75]).</w:t>
      </w:r>
    </w:p>
    <w:p>
      <w:pPr>
        <w:pStyle w:val="CaselawNumbered10"/>
        <w:numPr>
          <w:ilvl w:val="0"/>
          <w:numId w:val="33"/>
        </w:numPr>
        <w:spacing w:before="150" w:after="0"/>
        <w:ind w:left="600" w:hanging="600"/>
      </w:pPr>
      <w:r>
        <w:rPr>
          <w:rFonts w:ascii="Arial"/>
          <w:color w:val="000000"/>
          <w:sz w:val="24"/>
        </w:rPr>
        <w:t xml:space="preserve">That said, those issues set out at cl 6.10(3)(a), (b) and (c) are, in my view, somewhat contingent upon findings with respect to the issues within </w:t>
      </w:r>
      <w:r>
        <w:rPr>
          <w:rFonts w:ascii="Arial"/>
          <w:color w:val="000000"/>
          <w:sz w:val="24"/>
        </w:rPr>
        <w:t>subcl</w:t>
      </w:r>
      <w:r>
        <w:rPr>
          <w:rFonts w:ascii="Arial"/>
          <w:color w:val="000000"/>
          <w:sz w:val="24"/>
        </w:rPr>
        <w:t xml:space="preserve"> </w:t>
      </w:r>
      <w:r>
        <w:rPr>
          <w:rFonts w:ascii="Arial"/>
          <w:color w:val="000000"/>
          <w:sz w:val="24"/>
        </w:rPr>
        <w:t>6.10(3)(</w:t>
      </w:r>
      <w:r>
        <w:rPr>
          <w:rFonts w:ascii="Arial"/>
          <w:color w:val="000000"/>
          <w:sz w:val="24"/>
        </w:rPr>
        <w:t>e</w:t>
      </w:r>
      <w:r>
        <w:rPr>
          <w:rFonts w:ascii="Arial"/>
          <w:color w:val="000000"/>
          <w:sz w:val="24"/>
        </w:rPr>
        <w:t xml:space="preserve">). For instance, </w:t>
      </w:r>
      <w:r>
        <w:rPr>
          <w:rFonts w:ascii="Arial"/>
          <w:color w:val="000000"/>
          <w:sz w:val="24"/>
        </w:rPr>
        <w:t>whether a high standard of architectural design, materials and detailing appropriate to the building type and location will be achieved</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w:t>
      </w:r>
      <w:r>
        <w:rPr>
          <w:rFonts w:ascii="Arial"/>
          <w:color w:val="000000"/>
          <w:sz w:val="24"/>
        </w:rPr>
        <w:t>3</w:t>
      </w:r>
      <w:r>
        <w:rPr>
          <w:rFonts w:ascii="Arial"/>
          <w:color w:val="000000"/>
          <w:sz w:val="24"/>
        </w:rPr>
        <w:t>)(a)</w:t>
      </w:r>
      <w:r>
        <w:rPr>
          <w:rFonts w:ascii="Arial"/>
          <w:color w:val="000000"/>
          <w:sz w:val="24"/>
        </w:rPr>
        <w:t>)</w:t>
      </w:r>
      <w:r>
        <w:rPr>
          <w:rFonts w:ascii="Arial"/>
          <w:color w:val="000000"/>
          <w:sz w:val="24"/>
        </w:rPr>
        <w:t xml:space="preserve">, </w:t>
      </w:r>
      <w:r>
        <w:rPr>
          <w:rFonts w:ascii="Arial"/>
          <w:color w:val="000000"/>
          <w:sz w:val="24"/>
        </w:rPr>
        <w:t>must be considered</w:t>
      </w:r>
      <w:r>
        <w:rPr>
          <w:rFonts w:ascii="Arial"/>
          <w:color w:val="000000"/>
          <w:sz w:val="24"/>
        </w:rPr>
        <w:t xml:space="preserve"> </w:t>
      </w:r>
      <w:r>
        <w:rPr>
          <w:rFonts w:ascii="Arial"/>
          <w:color w:val="000000"/>
          <w:sz w:val="24"/>
        </w:rPr>
        <w:t>by reference to</w:t>
      </w:r>
      <w:r>
        <w:rPr>
          <w:rFonts w:ascii="Arial"/>
          <w:color w:val="000000"/>
          <w:sz w:val="24"/>
        </w:rPr>
        <w:t xml:space="preserve"> </w:t>
      </w:r>
      <w:r>
        <w:rPr>
          <w:rFonts w:ascii="Arial"/>
          <w:color w:val="000000"/>
          <w:sz w:val="24"/>
        </w:rPr>
        <w:t xml:space="preserve">the </w:t>
      </w:r>
      <w:r>
        <w:rPr>
          <w:rFonts w:ascii="Arial"/>
          <w:color w:val="000000"/>
          <w:sz w:val="24"/>
        </w:rPr>
        <w:t>bulk, massing</w:t>
      </w:r>
      <w:r>
        <w:rPr>
          <w:rFonts w:ascii="Arial"/>
          <w:color w:val="000000"/>
          <w:sz w:val="24"/>
        </w:rPr>
        <w:t>,</w:t>
      </w:r>
      <w:r>
        <w:rPr>
          <w:rFonts w:ascii="Arial"/>
          <w:color w:val="000000"/>
          <w:sz w:val="24"/>
        </w:rPr>
        <w:t xml:space="preserve"> </w:t>
      </w:r>
      <w:r>
        <w:rPr>
          <w:rFonts w:ascii="Arial"/>
          <w:color w:val="000000"/>
          <w:sz w:val="24"/>
        </w:rPr>
        <w:t>and modulation of buildings</w:t>
      </w:r>
      <w:r>
        <w:rPr>
          <w:rFonts w:ascii="Arial"/>
          <w:color w:val="000000"/>
          <w:sz w:val="24"/>
        </w:rPr>
        <w:t xml:space="preserve"> </w:t>
      </w:r>
      <w:r>
        <w:rPr>
          <w:rFonts w:ascii="Arial"/>
          <w:color w:val="000000"/>
          <w:sz w:val="24"/>
        </w:rPr>
        <w:t xml:space="preserve">at </w:t>
      </w:r>
      <w:r>
        <w:rPr>
          <w:rFonts w:ascii="Arial"/>
          <w:color w:val="000000"/>
          <w:sz w:val="24"/>
        </w:rPr>
        <w:t>subcl</w:t>
      </w:r>
      <w:r>
        <w:rPr>
          <w:rFonts w:ascii="Arial"/>
          <w:color w:val="000000"/>
          <w:sz w:val="24"/>
        </w:rPr>
        <w:t xml:space="preserve"> </w:t>
      </w:r>
      <w:r>
        <w:rPr>
          <w:rFonts w:ascii="Arial"/>
          <w:color w:val="000000"/>
          <w:sz w:val="24"/>
        </w:rPr>
        <w:t>(</w:t>
      </w:r>
      <w:r>
        <w:rPr>
          <w:rFonts w:ascii="Arial"/>
          <w:color w:val="000000"/>
          <w:sz w:val="24"/>
        </w:rPr>
        <w:t>3</w:t>
      </w:r>
      <w:r>
        <w:rPr>
          <w:rFonts w:ascii="Arial"/>
          <w:color w:val="000000"/>
          <w:sz w:val="24"/>
        </w:rPr>
        <w:t>)(</w:t>
      </w:r>
      <w:r>
        <w:rPr>
          <w:rFonts w:ascii="Arial"/>
          <w:color w:val="000000"/>
          <w:sz w:val="24"/>
        </w:rPr>
        <w:t>e</w:t>
      </w:r>
      <w:r>
        <w:rPr>
          <w:rFonts w:ascii="Arial"/>
          <w:color w:val="000000"/>
          <w:sz w:val="24"/>
        </w:rPr>
        <w:t xml:space="preserve">)(v) </w:t>
      </w:r>
      <w:r>
        <w:rPr>
          <w:rFonts w:ascii="Arial"/>
          <w:color w:val="000000"/>
          <w:sz w:val="24"/>
        </w:rPr>
        <w:t>which</w:t>
      </w:r>
      <w:r>
        <w:rPr>
          <w:rFonts w:ascii="Arial"/>
          <w:color w:val="000000"/>
          <w:sz w:val="24"/>
        </w:rPr>
        <w:t xml:space="preserve"> </w:t>
      </w:r>
      <w:r>
        <w:rPr>
          <w:rFonts w:ascii="Arial"/>
          <w:color w:val="000000"/>
          <w:sz w:val="24"/>
        </w:rPr>
        <w:t>are</w:t>
      </w:r>
      <w:r>
        <w:rPr>
          <w:rFonts w:ascii="Arial"/>
          <w:color w:val="000000"/>
          <w:sz w:val="24"/>
        </w:rPr>
        <w:t xml:space="preserve"> </w:t>
      </w:r>
      <w:r>
        <w:rPr>
          <w:rFonts w:ascii="Arial"/>
          <w:color w:val="000000"/>
          <w:sz w:val="24"/>
        </w:rPr>
        <w:t>all</w:t>
      </w:r>
      <w:r>
        <w:rPr>
          <w:rFonts w:ascii="Arial"/>
          <w:color w:val="000000"/>
          <w:sz w:val="24"/>
        </w:rPr>
        <w:t xml:space="preserve"> </w:t>
      </w:r>
      <w:r>
        <w:rPr>
          <w:rFonts w:ascii="Arial"/>
          <w:color w:val="000000"/>
          <w:sz w:val="24"/>
        </w:rPr>
        <w:t>aspects of architectural design.</w:t>
      </w:r>
    </w:p>
    <w:p>
      <w:pPr>
        <w:pStyle w:val="CaselawNumbered10"/>
        <w:numPr>
          <w:ilvl w:val="0"/>
          <w:numId w:val="33"/>
        </w:numPr>
        <w:spacing w:before="150" w:after="0"/>
        <w:ind w:left="600" w:hanging="600"/>
      </w:pPr>
      <w:r>
        <w:rPr>
          <w:rFonts w:ascii="Arial"/>
          <w:color w:val="000000"/>
          <w:sz w:val="24"/>
        </w:rPr>
        <w:t xml:space="preserve">Likewise, whether </w:t>
      </w:r>
      <w:r>
        <w:rPr>
          <w:rFonts w:ascii="Arial"/>
          <w:color w:val="000000"/>
          <w:sz w:val="24"/>
        </w:rPr>
        <w:t>the form and external appearance of the proposed development will improve the quality and amenity of the public domai</w:t>
      </w:r>
      <w:r>
        <w:rPr>
          <w:rFonts w:ascii="Arial"/>
          <w:color w:val="000000"/>
          <w:sz w:val="24"/>
        </w:rPr>
        <w:t xml:space="preserve">n, being a consideration required by </w:t>
      </w:r>
      <w:r>
        <w:rPr>
          <w:rFonts w:ascii="Arial"/>
          <w:color w:val="000000"/>
          <w:sz w:val="24"/>
        </w:rPr>
        <w:t>subcl</w:t>
      </w:r>
      <w:r>
        <w:rPr>
          <w:rFonts w:ascii="Arial"/>
          <w:color w:val="000000"/>
          <w:sz w:val="24"/>
        </w:rPr>
        <w:t xml:space="preserve"> </w:t>
      </w:r>
      <w:r>
        <w:rPr>
          <w:rFonts w:ascii="Arial"/>
          <w:color w:val="000000"/>
          <w:sz w:val="24"/>
        </w:rPr>
        <w:t>6.</w:t>
      </w:r>
      <w:r>
        <w:rPr>
          <w:rFonts w:ascii="Arial"/>
          <w:color w:val="000000"/>
          <w:sz w:val="24"/>
        </w:rPr>
        <w:t>10</w:t>
      </w:r>
      <w:r>
        <w:rPr>
          <w:rFonts w:ascii="Arial"/>
          <w:color w:val="000000"/>
          <w:sz w:val="24"/>
        </w:rPr>
        <w:t>(</w:t>
      </w:r>
      <w:r>
        <w:rPr>
          <w:rFonts w:ascii="Arial"/>
          <w:color w:val="000000"/>
          <w:sz w:val="24"/>
        </w:rPr>
        <w:t>3</w:t>
      </w:r>
      <w:r>
        <w:rPr>
          <w:rFonts w:ascii="Arial"/>
          <w:color w:val="000000"/>
          <w:sz w:val="24"/>
        </w:rPr>
        <w:t xml:space="preserve">)(b) of the </w:t>
      </w:r>
      <w:r>
        <w:rPr>
          <w:rFonts w:ascii="Arial"/>
          <w:color w:val="000000"/>
          <w:sz w:val="24"/>
        </w:rPr>
        <w:t>TCC</w:t>
      </w:r>
      <w:r>
        <w:rPr>
          <w:rFonts w:ascii="Arial"/>
          <w:color w:val="000000"/>
          <w:sz w:val="24"/>
        </w:rPr>
        <w:t xml:space="preserve">LEP, is </w:t>
      </w:r>
      <w:r>
        <w:rPr>
          <w:rFonts w:ascii="Arial"/>
          <w:color w:val="000000"/>
          <w:sz w:val="24"/>
        </w:rPr>
        <w:t>informed</w:t>
      </w:r>
      <w:r>
        <w:rPr>
          <w:rFonts w:ascii="Arial"/>
          <w:color w:val="000000"/>
          <w:sz w:val="24"/>
        </w:rPr>
        <w:t xml:space="preserve">, in my view, </w:t>
      </w:r>
      <w:r>
        <w:rPr>
          <w:rFonts w:ascii="Arial"/>
          <w:color w:val="000000"/>
          <w:sz w:val="24"/>
        </w:rPr>
        <w:t>by</w:t>
      </w:r>
      <w:r>
        <w:rPr>
          <w:rFonts w:ascii="Arial"/>
          <w:color w:val="000000"/>
          <w:sz w:val="24"/>
        </w:rPr>
        <w:t xml:space="preserve"> </w:t>
      </w:r>
      <w:r>
        <w:rPr>
          <w:rFonts w:ascii="Arial"/>
          <w:color w:val="000000"/>
          <w:sz w:val="24"/>
        </w:rPr>
        <w:t xml:space="preserve">considering </w:t>
      </w:r>
      <w:r>
        <w:rPr>
          <w:rFonts w:ascii="Arial"/>
          <w:color w:val="000000"/>
          <w:sz w:val="24"/>
        </w:rPr>
        <w:t>the impact on, and any proposed improvements to, the public domain</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w:t>
      </w:r>
      <w:r>
        <w:rPr>
          <w:rFonts w:ascii="Arial"/>
          <w:color w:val="000000"/>
          <w:sz w:val="24"/>
        </w:rPr>
        <w:t>3</w:t>
      </w:r>
      <w:r>
        <w:rPr>
          <w:rFonts w:ascii="Arial"/>
          <w:color w:val="000000"/>
          <w:sz w:val="24"/>
        </w:rPr>
        <w:t>)</w:t>
      </w:r>
      <w:r>
        <w:rPr>
          <w:rFonts w:ascii="Arial"/>
          <w:color w:val="000000"/>
          <w:sz w:val="24"/>
        </w:rPr>
        <w:t>(e)</w:t>
      </w:r>
      <w:r>
        <w:rPr>
          <w:rFonts w:ascii="Arial"/>
          <w:color w:val="000000"/>
          <w:sz w:val="24"/>
        </w:rPr>
        <w:t>(x</w:t>
      </w:r>
      <w:r>
        <w:rPr>
          <w:rFonts w:ascii="Arial"/>
          <w:color w:val="000000"/>
          <w:sz w:val="24"/>
        </w:rPr>
        <w:t>i</w:t>
      </w:r>
      <w:r>
        <w:rPr>
          <w:rFonts w:ascii="Arial"/>
          <w:color w:val="000000"/>
          <w:sz w:val="24"/>
        </w:rPr>
        <w:t>))</w:t>
      </w:r>
      <w:r>
        <w:rPr>
          <w:rFonts w:ascii="Arial"/>
          <w:color w:val="000000"/>
          <w:sz w:val="24"/>
        </w:rPr>
        <w:t>.</w:t>
      </w:r>
    </w:p>
    <w:p>
      <w:pPr>
        <w:pStyle w:val="CaselawNumbered10"/>
        <w:numPr>
          <w:ilvl w:val="0"/>
          <w:numId w:val="33"/>
        </w:numPr>
        <w:spacing w:before="150" w:after="0"/>
        <w:ind w:left="600" w:hanging="600"/>
      </w:pPr>
      <w:r>
        <w:rPr>
          <w:rFonts w:ascii="Arial"/>
          <w:color w:val="000000"/>
          <w:sz w:val="24"/>
        </w:rPr>
        <w:t>This</w:t>
      </w:r>
      <w:r>
        <w:rPr>
          <w:rFonts w:ascii="Arial"/>
          <w:color w:val="000000"/>
          <w:sz w:val="24"/>
        </w:rPr>
        <w:t xml:space="preserve"> </w:t>
      </w:r>
      <w:r>
        <w:rPr>
          <w:rFonts w:ascii="Arial"/>
          <w:color w:val="000000"/>
          <w:sz w:val="24"/>
        </w:rPr>
        <w:t>is made clear</w:t>
      </w:r>
      <w:r>
        <w:rPr>
          <w:rFonts w:ascii="Arial"/>
          <w:color w:val="000000"/>
          <w:sz w:val="24"/>
        </w:rPr>
        <w:t xml:space="preserve"> </w:t>
      </w:r>
      <w:r>
        <w:rPr>
          <w:rFonts w:ascii="Arial"/>
          <w:color w:val="000000"/>
          <w:sz w:val="24"/>
        </w:rPr>
        <w:t>by</w:t>
      </w:r>
      <w:r>
        <w:rPr>
          <w:rFonts w:ascii="Arial"/>
          <w:color w:val="000000"/>
          <w:sz w:val="24"/>
        </w:rPr>
        <w:t xml:space="preserve"> </w:t>
      </w:r>
      <w:r>
        <w:rPr>
          <w:rFonts w:ascii="Arial"/>
          <w:color w:val="000000"/>
          <w:sz w:val="24"/>
        </w:rPr>
        <w:t>t</w:t>
      </w:r>
      <w:r>
        <w:rPr>
          <w:rFonts w:ascii="Arial"/>
          <w:color w:val="000000"/>
          <w:sz w:val="24"/>
        </w:rPr>
        <w:t xml:space="preserve">hose matters set out at </w:t>
      </w:r>
      <w:r>
        <w:rPr>
          <w:rFonts w:ascii="Arial"/>
          <w:color w:val="000000"/>
          <w:sz w:val="24"/>
        </w:rPr>
        <w:t>subcl</w:t>
      </w:r>
      <w:r>
        <w:rPr>
          <w:rFonts w:ascii="Arial"/>
          <w:color w:val="000000"/>
          <w:sz w:val="24"/>
        </w:rPr>
        <w:t xml:space="preserve"> </w:t>
      </w:r>
      <w:r>
        <w:rPr>
          <w:rFonts w:ascii="Arial"/>
          <w:color w:val="000000"/>
          <w:sz w:val="24"/>
        </w:rPr>
        <w:t>(</w:t>
      </w:r>
      <w:r>
        <w:rPr>
          <w:rFonts w:ascii="Arial"/>
          <w:color w:val="000000"/>
          <w:sz w:val="24"/>
        </w:rPr>
        <w:t>3</w:t>
      </w:r>
      <w:r>
        <w:rPr>
          <w:rFonts w:ascii="Arial"/>
          <w:color w:val="000000"/>
          <w:sz w:val="24"/>
        </w:rPr>
        <w:t>)(</w:t>
      </w:r>
      <w:r>
        <w:rPr>
          <w:rFonts w:ascii="Arial"/>
          <w:color w:val="000000"/>
          <w:sz w:val="24"/>
        </w:rPr>
        <w:t>a)-(</w:t>
      </w:r>
      <w:r>
        <w:rPr>
          <w:rFonts w:ascii="Arial"/>
          <w:color w:val="000000"/>
          <w:sz w:val="24"/>
        </w:rPr>
        <w:t>c</w:t>
      </w:r>
      <w:r>
        <w:rPr>
          <w:rFonts w:ascii="Arial"/>
          <w:color w:val="000000"/>
          <w:sz w:val="24"/>
        </w:rPr>
        <w:t xml:space="preserve">) </w:t>
      </w:r>
      <w:r>
        <w:rPr>
          <w:rFonts w:ascii="Arial"/>
          <w:color w:val="000000"/>
          <w:sz w:val="24"/>
        </w:rPr>
        <w:t xml:space="preserve">being </w:t>
      </w:r>
      <w:r>
        <w:rPr>
          <w:rFonts w:ascii="Arial"/>
          <w:color w:val="000000"/>
          <w:sz w:val="24"/>
        </w:rPr>
        <w:t xml:space="preserve">posed in terms of </w:t>
      </w:r>
      <w:r>
        <w:rPr>
          <w:rFonts w:ascii="Arial"/>
          <w:color w:val="000000"/>
          <w:sz w:val="24"/>
        </w:rPr>
        <w:t>‘</w:t>
      </w:r>
      <w:r>
        <w:rPr>
          <w:rFonts w:ascii="Arial"/>
          <w:color w:val="000000"/>
          <w:sz w:val="24"/>
        </w:rPr>
        <w:t>whether</w:t>
      </w:r>
      <w:r>
        <w:rPr>
          <w:rFonts w:ascii="Arial"/>
          <w:color w:val="000000"/>
          <w:sz w:val="24"/>
        </w:rPr>
        <w:t xml:space="preserve">’ </w:t>
      </w:r>
      <w:r>
        <w:rPr>
          <w:rFonts w:ascii="Arial"/>
          <w:color w:val="000000"/>
          <w:sz w:val="24"/>
        </w:rPr>
        <w:t xml:space="preserve">the development the subject of the development application achieves certain things whereas those matters set out at </w:t>
      </w:r>
      <w:r>
        <w:rPr>
          <w:rFonts w:ascii="Arial"/>
          <w:color w:val="000000"/>
          <w:sz w:val="24"/>
        </w:rPr>
        <w:t>subcl</w:t>
      </w:r>
      <w:r>
        <w:rPr>
          <w:rFonts w:ascii="Arial"/>
          <w:color w:val="000000"/>
          <w:sz w:val="24"/>
        </w:rPr>
        <w:t xml:space="preserve"> </w:t>
      </w:r>
      <w:r>
        <w:rPr>
          <w:rFonts w:ascii="Arial"/>
          <w:color w:val="000000"/>
          <w:sz w:val="24"/>
        </w:rPr>
        <w:t>(</w:t>
      </w:r>
      <w:r>
        <w:rPr>
          <w:rFonts w:ascii="Arial"/>
          <w:color w:val="000000"/>
          <w:sz w:val="24"/>
        </w:rPr>
        <w:t>3</w:t>
      </w:r>
      <w:r>
        <w:rPr>
          <w:rFonts w:ascii="Arial"/>
          <w:color w:val="000000"/>
          <w:sz w:val="24"/>
        </w:rPr>
        <w:t>)(</w:t>
      </w:r>
      <w:r>
        <w:rPr>
          <w:rFonts w:ascii="Arial"/>
          <w:color w:val="000000"/>
          <w:sz w:val="24"/>
        </w:rPr>
        <w:t>e</w:t>
      </w:r>
      <w:r>
        <w:rPr>
          <w:rFonts w:ascii="Arial"/>
          <w:color w:val="000000"/>
          <w:sz w:val="24"/>
        </w:rPr>
        <w:t xml:space="preserve">) are posed in terms of </w:t>
      </w:r>
      <w:r>
        <w:rPr>
          <w:rFonts w:ascii="Arial"/>
          <w:color w:val="000000"/>
          <w:sz w:val="24"/>
        </w:rPr>
        <w:t>‘</w:t>
      </w:r>
      <w:r>
        <w:rPr>
          <w:rFonts w:ascii="Arial"/>
          <w:color w:val="000000"/>
          <w:sz w:val="24"/>
        </w:rPr>
        <w:t>how</w:t>
      </w:r>
      <w:r>
        <w:rPr>
          <w:rFonts w:ascii="Arial"/>
          <w:color w:val="000000"/>
          <w:sz w:val="24"/>
        </w:rPr>
        <w:t xml:space="preserve">’ </w:t>
      </w:r>
      <w:r>
        <w:rPr>
          <w:rFonts w:ascii="Arial"/>
          <w:color w:val="000000"/>
          <w:sz w:val="24"/>
        </w:rPr>
        <w:t xml:space="preserve">the proposal addresses certain matters. </w:t>
      </w:r>
    </w:p>
    <w:p>
      <w:pPr>
        <w:pStyle w:val="CaselawNumbered10"/>
        <w:numPr>
          <w:ilvl w:val="0"/>
          <w:numId w:val="33"/>
        </w:numPr>
        <w:spacing w:before="150" w:after="0"/>
        <w:ind w:left="600" w:hanging="600"/>
      </w:pPr>
      <w:r>
        <w:rPr>
          <w:rFonts w:ascii="Arial"/>
          <w:color w:val="000000"/>
          <w:sz w:val="24"/>
        </w:rPr>
        <w:t xml:space="preserve">For completeness, </w:t>
      </w:r>
      <w:r>
        <w:rPr>
          <w:rFonts w:ascii="Arial"/>
          <w:color w:val="000000"/>
          <w:sz w:val="24"/>
        </w:rPr>
        <w:t>subcl</w:t>
      </w:r>
      <w:r>
        <w:rPr>
          <w:rFonts w:ascii="Arial"/>
          <w:color w:val="000000"/>
          <w:sz w:val="24"/>
        </w:rPr>
        <w:t xml:space="preserve"> </w:t>
      </w:r>
      <w:r>
        <w:rPr>
          <w:rFonts w:ascii="Arial"/>
          <w:color w:val="000000"/>
          <w:sz w:val="24"/>
        </w:rPr>
        <w:t>(3)(d)</w:t>
      </w:r>
      <w:r>
        <w:rPr>
          <w:rFonts w:ascii="Arial"/>
          <w:color w:val="000000"/>
          <w:sz w:val="24"/>
        </w:rPr>
        <w:t xml:space="preserve"> </w:t>
      </w:r>
      <w:r>
        <w:rPr>
          <w:rFonts w:ascii="Arial"/>
          <w:color w:val="000000"/>
          <w:sz w:val="24"/>
        </w:rPr>
        <w:t>requires that I have regard to the T</w:t>
      </w:r>
      <w:r>
        <w:rPr>
          <w:rFonts w:ascii="Arial"/>
          <w:color w:val="000000"/>
          <w:sz w:val="24"/>
        </w:rPr>
        <w:t>weed City Centre DCP. The Respondent</w:t>
      </w:r>
      <w:r>
        <w:rPr>
          <w:rFonts w:ascii="Arial"/>
          <w:color w:val="000000"/>
          <w:sz w:val="24"/>
        </w:rPr>
        <w:t>’</w:t>
      </w:r>
      <w:r>
        <w:rPr>
          <w:rFonts w:ascii="Arial"/>
          <w:color w:val="000000"/>
          <w:sz w:val="24"/>
        </w:rPr>
        <w:t>s bundle contains the Tweed Development Control Plan 2008 (TDCP), and a search of the Council</w:t>
      </w:r>
      <w:r>
        <w:rPr>
          <w:rFonts w:ascii="Arial"/>
          <w:color w:val="000000"/>
          <w:sz w:val="24"/>
        </w:rPr>
        <w:t>’</w:t>
      </w:r>
      <w:r>
        <w:rPr>
          <w:rFonts w:ascii="Arial"/>
          <w:color w:val="000000"/>
          <w:sz w:val="24"/>
        </w:rPr>
        <w:t>s website reveals</w:t>
      </w:r>
      <w:r>
        <w:rPr>
          <w:rFonts w:ascii="Arial"/>
          <w:color w:val="000000"/>
          <w:sz w:val="24"/>
        </w:rPr>
        <w:t xml:space="preserve"> </w:t>
      </w:r>
      <w:r>
        <w:rPr>
          <w:rFonts w:ascii="Arial"/>
          <w:color w:val="000000"/>
          <w:sz w:val="24"/>
        </w:rPr>
        <w:t>no Tweed City Centre Development Control Plan, but instead</w:t>
      </w:r>
      <w:r>
        <w:rPr>
          <w:rFonts w:ascii="Arial"/>
          <w:color w:val="000000"/>
          <w:sz w:val="24"/>
        </w:rPr>
        <w:t xml:space="preserve"> </w:t>
      </w:r>
      <w:r>
        <w:rPr>
          <w:rFonts w:ascii="Arial"/>
          <w:color w:val="000000"/>
          <w:sz w:val="24"/>
        </w:rPr>
        <w:t>Section B2 relates to the</w:t>
      </w:r>
      <w:r>
        <w:rPr>
          <w:rFonts w:ascii="Arial"/>
          <w:color w:val="000000"/>
          <w:sz w:val="24"/>
        </w:rPr>
        <w:t xml:space="preserve"> </w:t>
      </w:r>
      <w:r>
        <w:rPr>
          <w:rFonts w:ascii="Arial"/>
          <w:color w:val="000000"/>
          <w:sz w:val="24"/>
        </w:rPr>
        <w:t>Tweed City Centre</w:t>
      </w:r>
      <w:r>
        <w:rPr>
          <w:rFonts w:ascii="Arial"/>
          <w:color w:val="000000"/>
          <w:sz w:val="24"/>
        </w:rPr>
        <w:t>.</w:t>
      </w:r>
    </w:p>
    <w:p>
      <w:pPr>
        <w:pStyle w:val="CaselawNumbered10"/>
        <w:numPr>
          <w:ilvl w:val="0"/>
          <w:numId w:val="33"/>
        </w:numPr>
        <w:spacing w:before="150" w:after="0"/>
        <w:ind w:left="600" w:hanging="600"/>
      </w:pPr>
      <w:r>
        <w:rPr>
          <w:rFonts w:ascii="Arial"/>
          <w:color w:val="000000"/>
          <w:sz w:val="24"/>
        </w:rPr>
        <w:t>At the outset, I record</w:t>
      </w:r>
      <w:r>
        <w:rPr>
          <w:rFonts w:ascii="Arial"/>
          <w:color w:val="000000"/>
          <w:sz w:val="24"/>
        </w:rPr>
        <w:t xml:space="preserve"> </w:t>
      </w:r>
      <w:r>
        <w:rPr>
          <w:rFonts w:ascii="Arial"/>
          <w:color w:val="000000"/>
          <w:sz w:val="24"/>
        </w:rPr>
        <w:t>here</w:t>
      </w:r>
      <w:r>
        <w:rPr>
          <w:rFonts w:ascii="Arial"/>
          <w:color w:val="000000"/>
          <w:sz w:val="24"/>
        </w:rPr>
        <w:t xml:space="preserve"> </w:t>
      </w:r>
      <w:r>
        <w:rPr>
          <w:rFonts w:ascii="Arial"/>
          <w:color w:val="000000"/>
          <w:sz w:val="24"/>
        </w:rPr>
        <w:t xml:space="preserve">that I </w:t>
      </w:r>
      <w:r>
        <w:rPr>
          <w:rFonts w:ascii="Arial"/>
          <w:color w:val="000000"/>
          <w:sz w:val="24"/>
        </w:rPr>
        <w:t>am of the opinion that</w:t>
      </w:r>
      <w:r>
        <w:rPr>
          <w:rFonts w:ascii="Arial"/>
          <w:color w:val="000000"/>
          <w:sz w:val="24"/>
        </w:rPr>
        <w:t xml:space="preserve"> </w:t>
      </w:r>
      <w:r>
        <w:rPr>
          <w:rFonts w:ascii="Arial"/>
          <w:color w:val="000000"/>
          <w:sz w:val="24"/>
        </w:rPr>
        <w:t xml:space="preserve">the land </w:t>
      </w:r>
      <w:r>
        <w:rPr>
          <w:rFonts w:ascii="Arial"/>
          <w:color w:val="000000"/>
          <w:sz w:val="24"/>
        </w:rPr>
        <w:t xml:space="preserve">is </w:t>
      </w:r>
      <w:r>
        <w:rPr>
          <w:rFonts w:ascii="Arial"/>
          <w:color w:val="000000"/>
          <w:sz w:val="24"/>
        </w:rPr>
        <w:t xml:space="preserve">suitable in accordance with </w:t>
      </w:r>
      <w:r>
        <w:rPr>
          <w:rFonts w:ascii="Arial"/>
          <w:color w:val="000000"/>
          <w:sz w:val="24"/>
        </w:rPr>
        <w:t>subcl</w:t>
      </w:r>
      <w:r>
        <w:rPr>
          <w:rFonts w:ascii="Arial"/>
          <w:color w:val="000000"/>
          <w:sz w:val="24"/>
        </w:rPr>
        <w:t>(3)(e)(</w:t>
      </w:r>
      <w:r>
        <w:rPr>
          <w:rFonts w:ascii="Arial"/>
          <w:color w:val="000000"/>
          <w:sz w:val="24"/>
        </w:rPr>
        <w:t>i</w:t>
      </w:r>
      <w:r>
        <w:rPr>
          <w:rFonts w:ascii="Arial"/>
          <w:color w:val="000000"/>
          <w:sz w:val="24"/>
        </w:rPr>
        <w:t>), by virtue of the site being located in the R3 zone, and the development proposed being a permissible use as noted at [</w:t>
      </w:r>
      <w:hyperlink r:id="rId21">
        <w:r>
          <w:rPr>
            <w:rFonts w:ascii="Arial"/>
            <w:color w:val="000000"/>
            <w:sz w:val="24"/>
            <w:u w:val="single"/>
          </w:rPr>
          <w:t/>
        </w:r>
        <w:r>
          <w:rPr>
            <w:rFonts w:ascii="Arial"/>
            <w:color w:val="000000"/>
            <w:sz w:val="24"/>
          </w:rPr>
          <w:t>16</w:t>
        </w:r>
      </w:hyperlink>
      <w:hyperlink r:id="rId22">
        <w:r>
          <w:rPr>
            <w:rFonts w:ascii="Arial"/>
            <w:color w:val="000000"/>
            <w:sz w:val="24"/>
          </w:rPr>
          <w:t/>
        </w:r>
      </w:hyperlink>
      <w:r>
        <w:rPr>
          <w:rFonts w:ascii="Arial"/>
          <w:color w:val="000000"/>
          <w:sz w:val="24"/>
        </w:rPr>
        <w:t>].</w:t>
      </w:r>
    </w:p>
    <w:p>
      <w:pPr>
        <w:pStyle w:val="CaselawNumbered10"/>
        <w:numPr>
          <w:ilvl w:val="0"/>
          <w:numId w:val="33"/>
        </w:numPr>
        <w:spacing w:before="150" w:after="0"/>
        <w:ind w:left="600" w:hanging="600"/>
      </w:pPr>
      <w:r>
        <w:rPr>
          <w:rFonts w:ascii="Arial"/>
          <w:color w:val="000000"/>
          <w:sz w:val="24"/>
        </w:rPr>
        <w:t xml:space="preserve">Furthermore, I consider the proposed use compatible with the existing uses in Pearl Street which include other residential flat buildings and multi dwelling housing development, and with uses proposed by </w:t>
      </w:r>
      <w:r>
        <w:rPr>
          <w:rFonts w:ascii="Arial"/>
          <w:color w:val="000000"/>
          <w:sz w:val="24"/>
        </w:rPr>
        <w:t>reference to</w:t>
      </w:r>
      <w:r>
        <w:rPr>
          <w:rFonts w:ascii="Arial"/>
          <w:color w:val="000000"/>
          <w:sz w:val="24"/>
        </w:rPr>
        <w:t xml:space="preserve"> </w:t>
      </w:r>
      <w:r>
        <w:rPr>
          <w:rFonts w:ascii="Arial"/>
          <w:color w:val="000000"/>
          <w:sz w:val="24"/>
        </w:rPr>
        <w:t xml:space="preserve">the land use table, height and FSR controls which permit apartment buildings from 11 to 16 storeys and an FSR of 4.5:1. </w:t>
      </w:r>
      <w:r>
        <w:rPr>
          <w:rFonts w:ascii="Arial"/>
          <w:color w:val="000000"/>
          <w:sz w:val="24"/>
        </w:rPr>
        <w:t xml:space="preserve">Furthermore, on the basis of the </w:t>
      </w:r>
      <w:r>
        <w:rPr>
          <w:rFonts w:ascii="Arial"/>
          <w:color w:val="000000"/>
          <w:sz w:val="24"/>
        </w:rPr>
        <w:t>unit schedule (</w:t>
      </w:r>
      <w:r>
        <w:rPr>
          <w:rFonts w:ascii="Arial"/>
          <w:color w:val="000000"/>
          <w:sz w:val="24"/>
        </w:rPr>
        <w:t xml:space="preserve">Exhibit A, </w:t>
      </w:r>
      <w:r>
        <w:rPr>
          <w:rFonts w:ascii="Arial"/>
          <w:color w:val="000000"/>
          <w:sz w:val="24"/>
        </w:rPr>
        <w:t>Drawing A801</w:t>
      </w:r>
      <w:r>
        <w:rPr>
          <w:rFonts w:ascii="Arial"/>
          <w:color w:val="000000"/>
          <w:sz w:val="24"/>
        </w:rPr>
        <w:t>)</w:t>
      </w:r>
      <w:r>
        <w:rPr>
          <w:rFonts w:ascii="Arial"/>
          <w:color w:val="000000"/>
          <w:sz w:val="24"/>
        </w:rPr>
        <w:t xml:space="preserve">, the apartment mix is consistent with </w:t>
      </w:r>
      <w:r>
        <w:rPr>
          <w:rFonts w:ascii="Arial"/>
          <w:color w:val="000000"/>
          <w:sz w:val="24"/>
        </w:rPr>
        <w:t xml:space="preserve">Section B2 of the TDCP, </w:t>
      </w:r>
      <w:r>
        <w:rPr>
          <w:rFonts w:ascii="Arial"/>
          <w:color w:val="000000"/>
          <w:sz w:val="24"/>
        </w:rPr>
        <w:t>Control (a)</w:t>
      </w:r>
      <w:r>
        <w:rPr>
          <w:rFonts w:ascii="Arial"/>
          <w:color w:val="000000"/>
          <w:sz w:val="24"/>
        </w:rPr>
        <w:t xml:space="preserve">. Accordingly, </w:t>
      </w:r>
      <w:r>
        <w:rPr>
          <w:rFonts w:ascii="Arial"/>
          <w:color w:val="000000"/>
          <w:sz w:val="24"/>
        </w:rPr>
        <w:t xml:space="preserve">I find the proposed use mix appropriate in accordance with </w:t>
      </w:r>
      <w:r>
        <w:rPr>
          <w:rFonts w:ascii="Arial"/>
          <w:color w:val="000000"/>
          <w:sz w:val="24"/>
        </w:rPr>
        <w:t>subcl</w:t>
      </w:r>
      <w:r>
        <w:rPr>
          <w:rFonts w:ascii="Arial"/>
          <w:color w:val="000000"/>
          <w:sz w:val="24"/>
        </w:rPr>
        <w:t xml:space="preserve"> </w:t>
      </w:r>
      <w:r>
        <w:rPr>
          <w:rFonts w:ascii="Arial"/>
          <w:color w:val="000000"/>
          <w:sz w:val="24"/>
        </w:rPr>
        <w:t xml:space="preserve">(3)(e)(ii). </w:t>
      </w:r>
    </w:p>
    <w:p>
      <w:pPr>
        <w:pStyle w:val="CaselawNumbered10"/>
        <w:numPr>
          <w:ilvl w:val="0"/>
          <w:numId w:val="33"/>
        </w:numPr>
        <w:spacing w:before="150" w:after="0"/>
        <w:ind w:left="600" w:hanging="600"/>
      </w:pPr>
      <w:r>
        <w:rPr>
          <w:rFonts w:ascii="Arial"/>
          <w:color w:val="000000"/>
          <w:sz w:val="24"/>
        </w:rPr>
        <w:t xml:space="preserve">I have </w:t>
      </w:r>
      <w:r>
        <w:rPr>
          <w:rFonts w:ascii="Arial"/>
          <w:color w:val="000000"/>
          <w:sz w:val="24"/>
        </w:rPr>
        <w:t xml:space="preserve">also </w:t>
      </w:r>
      <w:r>
        <w:rPr>
          <w:rFonts w:ascii="Arial"/>
          <w:color w:val="000000"/>
          <w:sz w:val="24"/>
        </w:rPr>
        <w:t xml:space="preserve">formed an opinion </w:t>
      </w:r>
      <w:r>
        <w:rPr>
          <w:rFonts w:ascii="Arial"/>
          <w:color w:val="000000"/>
          <w:sz w:val="24"/>
        </w:rPr>
        <w:t>that the proposal achieves a</w:t>
      </w:r>
      <w:r>
        <w:rPr>
          <w:rFonts w:ascii="Arial"/>
          <w:color w:val="000000"/>
          <w:sz w:val="24"/>
        </w:rPr>
        <w:t xml:space="preserve"> </w:t>
      </w:r>
      <w:r>
        <w:rPr>
          <w:rFonts w:ascii="Arial"/>
          <w:color w:val="000000"/>
          <w:sz w:val="24"/>
        </w:rPr>
        <w:t>high standard of architectural design, materials and detailing appropriate to the building type and location</w:t>
      </w:r>
      <w:r>
        <w:rPr>
          <w:rFonts w:ascii="Arial"/>
          <w:color w:val="000000"/>
          <w:sz w:val="24"/>
        </w:rPr>
        <w:t>, in accordance with cl 6.10(3)(a)</w:t>
      </w:r>
      <w:r>
        <w:rPr>
          <w:rFonts w:ascii="Arial"/>
          <w:color w:val="000000"/>
          <w:sz w:val="24"/>
        </w:rPr>
        <w:t xml:space="preserve"> </w:t>
      </w:r>
      <w:r>
        <w:rPr>
          <w:rFonts w:ascii="Arial"/>
          <w:color w:val="000000"/>
          <w:sz w:val="24"/>
        </w:rPr>
        <w:t>for the reasons that</w:t>
      </w:r>
      <w:r>
        <w:rPr>
          <w:rFonts w:ascii="Arial"/>
          <w:color w:val="000000"/>
          <w:sz w:val="24"/>
        </w:rPr>
        <w:t xml:space="preserve"> </w:t>
      </w:r>
      <w:r>
        <w:rPr>
          <w:rFonts w:ascii="Arial"/>
          <w:color w:val="000000"/>
          <w:sz w:val="24"/>
        </w:rPr>
        <w:t>follow:</w:t>
      </w:r>
      <w:r>
        <w:rPr>
          <w:rFonts w:ascii="Arial"/>
          <w:color w:val="000000"/>
          <w:sz w:val="24"/>
        </w:rPr>
        <w:t xml:space="preserve"> </w:t>
      </w:r>
    </w:p>
    <w:p>
      <w:pPr>
        <w:pStyle w:val="CaselawNumbered1"/>
        <w:numPr>
          <w:ilvl w:val="0"/>
          <w:numId w:val="34"/>
        </w:numPr>
        <w:spacing w:before="150" w:after="0"/>
        <w:ind w:left="1350" w:hanging="750"/>
      </w:pPr>
      <w:r>
        <w:rPr>
          <w:rFonts w:ascii="Arial"/>
          <w:color w:val="000000"/>
          <w:sz w:val="24"/>
        </w:rPr>
        <w:t xml:space="preserve">In respect of </w:t>
      </w:r>
      <w:r>
        <w:rPr>
          <w:rFonts w:ascii="Arial"/>
          <w:color w:val="000000"/>
          <w:sz w:val="24"/>
        </w:rPr>
        <w:t>subcl</w:t>
      </w:r>
      <w:r>
        <w:rPr>
          <w:rFonts w:ascii="Arial"/>
          <w:color w:val="000000"/>
          <w:sz w:val="24"/>
        </w:rPr>
        <w:t xml:space="preserve"> </w:t>
      </w:r>
      <w:r>
        <w:rPr>
          <w:rFonts w:ascii="Arial"/>
          <w:color w:val="000000"/>
          <w:sz w:val="24"/>
        </w:rPr>
        <w:t xml:space="preserve">(3)(e)(iii), while there are no heritage issues identified by the parties, I am assisted by the evidence of the planning and urban design experts in their assessment of the controls supporting a street wall height of </w:t>
      </w:r>
      <w:r>
        <w:rPr>
          <w:rFonts w:ascii="Arial"/>
          <w:color w:val="000000"/>
          <w:sz w:val="24"/>
        </w:rPr>
        <w:t>3</w:t>
      </w:r>
      <w:r>
        <w:rPr>
          <w:rFonts w:ascii="Arial"/>
          <w:color w:val="000000"/>
          <w:sz w:val="24"/>
        </w:rPr>
        <w:t xml:space="preserve"> </w:t>
      </w:r>
      <w:r>
        <w:rPr>
          <w:rFonts w:ascii="Arial"/>
          <w:color w:val="000000"/>
          <w:sz w:val="24"/>
        </w:rPr>
        <w:t xml:space="preserve">storeys, with which the proposal </w:t>
      </w:r>
      <w:r>
        <w:rPr>
          <w:rFonts w:ascii="Arial"/>
          <w:color w:val="000000"/>
          <w:sz w:val="24"/>
        </w:rPr>
        <w:t xml:space="preserve">largely </w:t>
      </w:r>
      <w:r>
        <w:rPr>
          <w:rFonts w:ascii="Arial"/>
          <w:color w:val="000000"/>
          <w:sz w:val="24"/>
        </w:rPr>
        <w:t>conforms</w:t>
      </w:r>
      <w:r>
        <w:rPr>
          <w:rFonts w:ascii="Arial"/>
          <w:color w:val="000000"/>
          <w:sz w:val="24"/>
        </w:rPr>
        <w:t xml:space="preserve">, and so </w:t>
      </w:r>
      <w:r>
        <w:rPr>
          <w:rFonts w:ascii="Arial"/>
          <w:color w:val="000000"/>
          <w:sz w:val="24"/>
        </w:rPr>
        <w:t xml:space="preserve">achieves an appropriate street frontage height in accordance with </w:t>
      </w:r>
      <w:r>
        <w:rPr>
          <w:rFonts w:ascii="Arial"/>
          <w:color w:val="000000"/>
          <w:sz w:val="24"/>
        </w:rPr>
        <w:t>subcl</w:t>
      </w:r>
      <w:r>
        <w:rPr>
          <w:rFonts w:ascii="Arial"/>
          <w:color w:val="000000"/>
          <w:sz w:val="24"/>
        </w:rPr>
        <w:t xml:space="preserve"> </w:t>
      </w:r>
      <w:r>
        <w:rPr>
          <w:rFonts w:ascii="Arial"/>
          <w:color w:val="000000"/>
          <w:sz w:val="24"/>
        </w:rPr>
        <w:t xml:space="preserve">(3)(e)(vi). </w:t>
      </w:r>
      <w:r>
        <w:rPr>
          <w:rFonts w:ascii="Arial"/>
          <w:color w:val="000000"/>
          <w:sz w:val="24"/>
        </w:rPr>
        <w:t xml:space="preserve"> </w:t>
      </w:r>
    </w:p>
    <w:p>
      <w:pPr>
        <w:pStyle w:val="CaselawNumbered1"/>
        <w:numPr>
          <w:ilvl w:val="0"/>
          <w:numId w:val="34"/>
        </w:numPr>
        <w:spacing w:before="150" w:after="0"/>
        <w:ind w:left="1350" w:hanging="750"/>
      </w:pPr>
      <w:r>
        <w:rPr>
          <w:rFonts w:ascii="Arial"/>
          <w:color w:val="000000"/>
          <w:sz w:val="24"/>
        </w:rPr>
        <w:t>The proposal achieves the setbacks to boundaries required by the Objective 3F-1 of the Apartment Design Guide</w:t>
      </w:r>
      <w:r>
        <w:rPr>
          <w:rFonts w:ascii="Arial"/>
          <w:color w:val="000000"/>
          <w:sz w:val="24"/>
        </w:rPr>
        <w:t xml:space="preserve"> </w:t>
      </w:r>
      <w:r>
        <w:rPr>
          <w:rFonts w:ascii="Arial"/>
          <w:color w:val="000000"/>
          <w:sz w:val="24"/>
        </w:rPr>
        <w:t>(ADG)</w:t>
      </w:r>
      <w:r>
        <w:rPr>
          <w:rFonts w:ascii="Arial"/>
          <w:color w:val="000000"/>
          <w:sz w:val="24"/>
        </w:rPr>
        <w:t xml:space="preserve">, with the exceptions to the southern boundary which I consider an acceptable departure when the areas of </w:t>
      </w:r>
      <w:r>
        <w:rPr>
          <w:rFonts w:ascii="Arial"/>
          <w:color w:val="000000"/>
          <w:sz w:val="24"/>
        </w:rPr>
        <w:t>more generous setbacks</w:t>
      </w:r>
      <w:r>
        <w:rPr>
          <w:rFonts w:ascii="Arial"/>
          <w:color w:val="000000"/>
          <w:sz w:val="24"/>
        </w:rPr>
        <w:t xml:space="preserve"> </w:t>
      </w:r>
      <w:r>
        <w:rPr>
          <w:rFonts w:ascii="Arial"/>
          <w:color w:val="000000"/>
          <w:sz w:val="24"/>
        </w:rPr>
        <w:t>are also considered.</w:t>
      </w:r>
      <w:r>
        <w:rPr>
          <w:rFonts w:ascii="Arial"/>
          <w:color w:val="000000"/>
          <w:sz w:val="24"/>
        </w:rPr>
        <w:t xml:space="preserve"> </w:t>
      </w:r>
    </w:p>
    <w:p>
      <w:pPr>
        <w:pStyle w:val="CaselawNumbered1"/>
        <w:numPr>
          <w:ilvl w:val="0"/>
          <w:numId w:val="34"/>
        </w:numPr>
        <w:spacing w:before="150" w:after="0"/>
        <w:ind w:left="1350" w:hanging="750"/>
      </w:pPr>
      <w:r>
        <w:rPr>
          <w:rFonts w:ascii="Arial"/>
          <w:color w:val="000000"/>
          <w:sz w:val="24"/>
        </w:rPr>
        <w:t xml:space="preserve">The Applicant has </w:t>
      </w:r>
      <w:r>
        <w:rPr>
          <w:rFonts w:ascii="Arial"/>
          <w:color w:val="000000"/>
          <w:sz w:val="24"/>
        </w:rPr>
        <w:t xml:space="preserve">also </w:t>
      </w:r>
      <w:r>
        <w:rPr>
          <w:rFonts w:ascii="Arial"/>
          <w:color w:val="000000"/>
          <w:sz w:val="24"/>
        </w:rPr>
        <w:t xml:space="preserve">demonstrated that sites to the south </w:t>
      </w:r>
      <w:r>
        <w:rPr>
          <w:rFonts w:ascii="Arial"/>
          <w:color w:val="000000"/>
          <w:sz w:val="24"/>
        </w:rPr>
        <w:t>are capable of accommodating</w:t>
      </w:r>
      <w:r>
        <w:rPr>
          <w:rFonts w:ascii="Arial"/>
          <w:color w:val="000000"/>
          <w:sz w:val="24"/>
        </w:rPr>
        <w:t xml:space="preserve"> </w:t>
      </w:r>
      <w:r>
        <w:rPr>
          <w:rFonts w:ascii="Arial"/>
          <w:color w:val="000000"/>
          <w:sz w:val="24"/>
        </w:rPr>
        <w:t>residential flat buildings with separation distances and setbacks in accordance with the</w:t>
      </w:r>
      <w:r>
        <w:rPr>
          <w:rFonts w:ascii="Arial"/>
          <w:color w:val="000000"/>
          <w:sz w:val="24"/>
        </w:rPr>
        <w:t xml:space="preserve"> </w:t>
      </w:r>
      <w:r>
        <w:rPr>
          <w:rFonts w:ascii="Arial"/>
          <w:color w:val="000000"/>
          <w:sz w:val="24"/>
        </w:rPr>
        <w:t>ADG</w:t>
      </w:r>
      <w:r>
        <w:rPr>
          <w:rFonts w:ascii="Arial"/>
          <w:color w:val="000000"/>
          <w:sz w:val="24"/>
        </w:rPr>
        <w:t xml:space="preserve">. </w:t>
      </w:r>
      <w:r>
        <w:rPr>
          <w:rFonts w:ascii="Arial"/>
          <w:color w:val="000000"/>
          <w:sz w:val="24"/>
        </w:rPr>
        <w:t>For these reasons, I consider t</w:t>
      </w:r>
      <w:r>
        <w:rPr>
          <w:rFonts w:ascii="Arial"/>
          <w:color w:val="000000"/>
          <w:sz w:val="24"/>
        </w:rPr>
        <w:t xml:space="preserve">he </w:t>
      </w:r>
      <w:r>
        <w:rPr>
          <w:rFonts w:ascii="Arial"/>
          <w:color w:val="000000"/>
          <w:sz w:val="24"/>
        </w:rPr>
        <w:t xml:space="preserve">relationship of the proposed development with other development on neighbouring sites in terms of separation, setbacks, </w:t>
      </w:r>
      <w:r>
        <w:rPr>
          <w:rFonts w:ascii="Arial"/>
          <w:color w:val="000000"/>
          <w:sz w:val="24"/>
        </w:rPr>
        <w:t>amenity</w:t>
      </w:r>
      <w:r>
        <w:rPr>
          <w:rFonts w:ascii="Arial"/>
          <w:color w:val="000000"/>
          <w:sz w:val="24"/>
        </w:rPr>
        <w:t xml:space="preserve"> and urban form, being the subject of </w:t>
      </w:r>
      <w:r>
        <w:rPr>
          <w:rFonts w:ascii="Arial"/>
          <w:color w:val="000000"/>
          <w:sz w:val="24"/>
        </w:rPr>
        <w:t>subcl</w:t>
      </w:r>
      <w:r>
        <w:rPr>
          <w:rFonts w:ascii="Arial"/>
          <w:color w:val="000000"/>
          <w:sz w:val="24"/>
        </w:rPr>
        <w:t xml:space="preserve"> (3)(e)(iv), appropriate</w:t>
      </w:r>
      <w:r>
        <w:rPr>
          <w:rFonts w:ascii="Arial"/>
          <w:color w:val="000000"/>
          <w:sz w:val="24"/>
        </w:rPr>
        <w:t>.</w:t>
      </w:r>
    </w:p>
    <w:p>
      <w:pPr>
        <w:pStyle w:val="CaselawNumbered1"/>
        <w:numPr>
          <w:ilvl w:val="0"/>
          <w:numId w:val="34"/>
        </w:numPr>
        <w:spacing w:before="150" w:after="0"/>
        <w:ind w:left="1350" w:hanging="750"/>
      </w:pPr>
      <w:r>
        <w:rPr>
          <w:rFonts w:ascii="Arial"/>
          <w:color w:val="000000"/>
          <w:sz w:val="24"/>
        </w:rPr>
        <w:t xml:space="preserve">I also accept the design statement provided by the architect </w:t>
      </w:r>
      <w:r>
        <w:rPr>
          <w:rFonts w:ascii="Arial"/>
          <w:color w:val="000000"/>
          <w:sz w:val="24"/>
        </w:rPr>
        <w:t xml:space="preserve">(Exhibit Y) </w:t>
      </w:r>
      <w:r>
        <w:rPr>
          <w:rFonts w:ascii="Arial"/>
          <w:color w:val="000000"/>
          <w:sz w:val="24"/>
        </w:rPr>
        <w:t>that the podium</w:t>
      </w:r>
      <w:r>
        <w:rPr>
          <w:rFonts w:ascii="Arial"/>
          <w:color w:val="000000"/>
          <w:sz w:val="24"/>
        </w:rPr>
        <w:t>, at</w:t>
      </w:r>
      <w:r>
        <w:rPr>
          <w:rFonts w:ascii="Arial"/>
          <w:color w:val="000000"/>
          <w:sz w:val="24"/>
        </w:rPr>
        <w:t xml:space="preserve"> </w:t>
      </w:r>
      <w:r>
        <w:rPr>
          <w:rFonts w:ascii="Arial"/>
          <w:color w:val="000000"/>
          <w:sz w:val="24"/>
        </w:rPr>
        <w:t>4 storeys</w:t>
      </w:r>
      <w:r>
        <w:rPr>
          <w:rFonts w:ascii="Arial"/>
          <w:color w:val="000000"/>
          <w:sz w:val="24"/>
        </w:rPr>
        <w:t>,</w:t>
      </w:r>
      <w:r>
        <w:rPr>
          <w:rFonts w:ascii="Arial"/>
          <w:color w:val="000000"/>
          <w:sz w:val="24"/>
        </w:rPr>
        <w:t xml:space="preserve"> </w:t>
      </w:r>
      <w:r>
        <w:rPr>
          <w:rFonts w:ascii="Arial"/>
          <w:color w:val="000000"/>
          <w:sz w:val="24"/>
        </w:rPr>
        <w:t>seeks to</w:t>
      </w:r>
      <w:r>
        <w:rPr>
          <w:rFonts w:ascii="Arial"/>
          <w:color w:val="000000"/>
          <w:sz w:val="24"/>
        </w:rPr>
        <w:t xml:space="preserve"> </w:t>
      </w:r>
      <w:r>
        <w:rPr>
          <w:rFonts w:ascii="Arial"/>
          <w:color w:val="000000"/>
          <w:sz w:val="24"/>
        </w:rPr>
        <w:t>respond to</w:t>
      </w:r>
      <w:r>
        <w:rPr>
          <w:rFonts w:ascii="Arial"/>
          <w:color w:val="000000"/>
          <w:sz w:val="24"/>
        </w:rPr>
        <w:t xml:space="preserve"> </w:t>
      </w:r>
      <w:r>
        <w:rPr>
          <w:rFonts w:ascii="Arial"/>
          <w:color w:val="000000"/>
          <w:sz w:val="24"/>
        </w:rPr>
        <w:t xml:space="preserve">the existing lower scale streetscape, with towers set back above this level. The </w:t>
      </w:r>
      <w:r>
        <w:rPr>
          <w:rFonts w:ascii="Arial"/>
          <w:color w:val="000000"/>
          <w:sz w:val="24"/>
        </w:rPr>
        <w:t>‘</w:t>
      </w:r>
      <w:r>
        <w:rPr>
          <w:rFonts w:ascii="Arial"/>
          <w:color w:val="000000"/>
          <w:sz w:val="24"/>
        </w:rPr>
        <w:t>two tower</w:t>
      </w:r>
      <w:r>
        <w:rPr>
          <w:rFonts w:ascii="Arial"/>
          <w:color w:val="000000"/>
          <w:sz w:val="24"/>
        </w:rPr>
        <w:t>’</w:t>
      </w:r>
      <w:r>
        <w:rPr>
          <w:rFonts w:ascii="Arial"/>
          <w:color w:val="000000"/>
          <w:sz w:val="24"/>
        </w:rPr>
        <w:t xml:space="preserve"> </w:t>
      </w:r>
      <w:r>
        <w:rPr>
          <w:rFonts w:ascii="Arial"/>
          <w:color w:val="000000"/>
          <w:sz w:val="24"/>
        </w:rPr>
        <w:t xml:space="preserve">scheme </w:t>
      </w:r>
      <w:r>
        <w:rPr>
          <w:rFonts w:ascii="Arial"/>
          <w:color w:val="000000"/>
          <w:sz w:val="24"/>
        </w:rPr>
        <w:t>also results in towers of similar bulk and scale to those existing in the local area, including that at 42-44 Thomson Street</w:t>
      </w:r>
      <w:r>
        <w:rPr>
          <w:rFonts w:ascii="Arial"/>
          <w:color w:val="000000"/>
          <w:sz w:val="24"/>
        </w:rPr>
        <w:t xml:space="preserve"> </w:t>
      </w:r>
      <w:r>
        <w:rPr>
          <w:rFonts w:ascii="Arial"/>
          <w:color w:val="000000"/>
          <w:sz w:val="24"/>
        </w:rPr>
        <w:t xml:space="preserve">and so the </w:t>
      </w:r>
      <w:r>
        <w:rPr>
          <w:rFonts w:ascii="Arial"/>
          <w:color w:val="000000"/>
          <w:sz w:val="24"/>
        </w:rPr>
        <w:t xml:space="preserve">bulk, </w:t>
      </w:r>
      <w:r>
        <w:rPr>
          <w:rFonts w:ascii="Arial"/>
          <w:color w:val="000000"/>
          <w:sz w:val="24"/>
        </w:rPr>
        <w:t xml:space="preserve">massing and modulation </w:t>
      </w:r>
      <w:r>
        <w:rPr>
          <w:rFonts w:ascii="Arial"/>
          <w:color w:val="000000"/>
          <w:sz w:val="24"/>
        </w:rPr>
        <w:t>have precedence in the local area (</w:t>
      </w:r>
      <w:r>
        <w:rPr>
          <w:rFonts w:ascii="Arial"/>
          <w:color w:val="000000"/>
          <w:sz w:val="24"/>
        </w:rPr>
        <w:t>subcl</w:t>
      </w:r>
      <w:r>
        <w:rPr>
          <w:rFonts w:ascii="Arial"/>
          <w:color w:val="000000"/>
          <w:sz w:val="24"/>
        </w:rPr>
        <w:t xml:space="preserve"> </w:t>
      </w:r>
      <w:r>
        <w:rPr>
          <w:rFonts w:ascii="Arial"/>
          <w:color w:val="000000"/>
          <w:sz w:val="24"/>
        </w:rPr>
        <w:t>(3)(e)(v))</w:t>
      </w:r>
      <w:r>
        <w:rPr>
          <w:rFonts w:ascii="Arial"/>
          <w:color w:val="000000"/>
          <w:sz w:val="24"/>
        </w:rPr>
        <w:t>.</w:t>
      </w:r>
      <w:r>
        <w:rPr>
          <w:rFonts w:ascii="Arial"/>
          <w:color w:val="000000"/>
          <w:sz w:val="24"/>
        </w:rPr>
        <w:t xml:space="preserve"> </w:t>
      </w:r>
    </w:p>
    <w:p>
      <w:pPr>
        <w:pStyle w:val="CaselawNumbered1"/>
        <w:numPr>
          <w:ilvl w:val="0"/>
          <w:numId w:val="34"/>
        </w:numPr>
        <w:spacing w:before="150" w:after="0"/>
        <w:ind w:left="1350" w:hanging="750"/>
      </w:pPr>
      <w:r>
        <w:rPr>
          <w:rFonts w:ascii="Arial"/>
          <w:color w:val="000000"/>
          <w:sz w:val="24"/>
        </w:rPr>
        <w:t>On the basis of the experts agreement, contain</w:t>
      </w:r>
      <w:r>
        <w:rPr>
          <w:rFonts w:ascii="Arial"/>
          <w:color w:val="000000"/>
          <w:sz w:val="24"/>
        </w:rPr>
        <w:t>ed</w:t>
      </w:r>
      <w:r>
        <w:rPr>
          <w:rFonts w:ascii="Arial"/>
          <w:color w:val="000000"/>
          <w:sz w:val="24"/>
        </w:rPr>
        <w:t xml:space="preserve"> </w:t>
      </w:r>
      <w:r>
        <w:rPr>
          <w:rFonts w:ascii="Arial"/>
          <w:color w:val="000000"/>
          <w:sz w:val="24"/>
        </w:rPr>
        <w:t>at par 6 of the joint expert report (</w:t>
      </w:r>
      <w:r>
        <w:rPr>
          <w:rFonts w:ascii="Arial"/>
          <w:color w:val="000000"/>
          <w:sz w:val="24"/>
        </w:rPr>
        <w:t xml:space="preserve">Exhibit 8), I accept that </w:t>
      </w:r>
      <w:r>
        <w:rPr>
          <w:rFonts w:ascii="Arial"/>
          <w:color w:val="000000"/>
          <w:sz w:val="24"/>
        </w:rPr>
        <w:t xml:space="preserve">at least 70% of apartments in </w:t>
      </w:r>
      <w:r>
        <w:rPr>
          <w:rFonts w:ascii="Arial"/>
          <w:color w:val="000000"/>
          <w:sz w:val="24"/>
        </w:rPr>
        <w:t xml:space="preserve">the proposal </w:t>
      </w:r>
      <w:r>
        <w:rPr>
          <w:rFonts w:ascii="Arial"/>
          <w:color w:val="000000"/>
          <w:sz w:val="24"/>
        </w:rPr>
        <w:t xml:space="preserve">receive a minimum of </w:t>
      </w:r>
      <w:r>
        <w:rPr>
          <w:rFonts w:ascii="Arial"/>
          <w:color w:val="000000"/>
          <w:sz w:val="24"/>
        </w:rPr>
        <w:t>3</w:t>
      </w:r>
      <w:r>
        <w:rPr>
          <w:rFonts w:ascii="Arial"/>
          <w:color w:val="000000"/>
          <w:sz w:val="24"/>
        </w:rPr>
        <w:t xml:space="preserve"> </w:t>
      </w:r>
      <w:r>
        <w:rPr>
          <w:rFonts w:ascii="Arial"/>
          <w:color w:val="000000"/>
          <w:sz w:val="24"/>
        </w:rPr>
        <w:t xml:space="preserve">hours </w:t>
      </w:r>
      <w:r>
        <w:rPr>
          <w:rFonts w:ascii="Arial"/>
          <w:color w:val="000000"/>
          <w:sz w:val="24"/>
        </w:rPr>
        <w:t>solar access</w:t>
      </w:r>
      <w:r>
        <w:rPr>
          <w:rFonts w:ascii="Arial"/>
          <w:color w:val="000000"/>
          <w:sz w:val="24"/>
        </w:rPr>
        <w:t xml:space="preserve"> </w:t>
      </w:r>
      <w:r>
        <w:rPr>
          <w:rFonts w:ascii="Arial"/>
          <w:color w:val="000000"/>
          <w:sz w:val="24"/>
        </w:rPr>
        <w:t xml:space="preserve">between 9 am and 3 pm at </w:t>
      </w:r>
      <w:r>
        <w:rPr>
          <w:rFonts w:ascii="Arial"/>
          <w:color w:val="000000"/>
          <w:sz w:val="24"/>
        </w:rPr>
        <w:t>mid winter</w:t>
      </w:r>
      <w:r>
        <w:rPr>
          <w:rFonts w:ascii="Arial"/>
          <w:color w:val="000000"/>
          <w:sz w:val="24"/>
        </w:rPr>
        <w:t>,</w:t>
      </w:r>
      <w:r>
        <w:rPr>
          <w:rFonts w:ascii="Arial"/>
          <w:color w:val="000000"/>
          <w:sz w:val="24"/>
        </w:rPr>
        <w:t xml:space="preserve"> </w:t>
      </w:r>
      <w:r>
        <w:rPr>
          <w:rFonts w:ascii="Arial"/>
          <w:color w:val="000000"/>
          <w:sz w:val="24"/>
        </w:rPr>
        <w:t xml:space="preserve">achieving </w:t>
      </w:r>
      <w:r>
        <w:rPr>
          <w:rFonts w:ascii="Arial"/>
          <w:color w:val="000000"/>
          <w:sz w:val="24"/>
        </w:rPr>
        <w:t xml:space="preserve">the relevant </w:t>
      </w:r>
      <w:r>
        <w:rPr>
          <w:rFonts w:ascii="Arial"/>
          <w:color w:val="000000"/>
          <w:sz w:val="24"/>
        </w:rPr>
        <w:t>solar access controls</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(3)(e)(vii))</w:t>
      </w:r>
      <w:r>
        <w:rPr>
          <w:rFonts w:ascii="Arial"/>
          <w:color w:val="000000"/>
          <w:sz w:val="24"/>
        </w:rPr>
        <w:t xml:space="preserve">, and that only 5% of apartments </w:t>
      </w:r>
      <w:r>
        <w:rPr>
          <w:rFonts w:ascii="Arial"/>
          <w:color w:val="000000"/>
          <w:sz w:val="24"/>
        </w:rPr>
        <w:t>receive no sunlight during those hours, whi</w:t>
      </w:r>
      <w:r>
        <w:rPr>
          <w:rFonts w:ascii="Arial"/>
          <w:color w:val="000000"/>
          <w:sz w:val="24"/>
        </w:rPr>
        <w:t xml:space="preserve">ch is an improved outcome from the 15% permitted by </w:t>
      </w:r>
      <w:r>
        <w:rPr>
          <w:rFonts w:ascii="Arial"/>
          <w:color w:val="000000"/>
          <w:sz w:val="24"/>
        </w:rPr>
        <w:t>design criteria 3, Objective 4</w:t>
      </w:r>
      <w:r>
        <w:rPr>
          <w:rFonts w:ascii="Arial"/>
          <w:color w:val="000000"/>
          <w:sz w:val="24"/>
        </w:rPr>
        <w:t>A</w:t>
      </w:r>
      <w:r>
        <w:rPr>
          <w:rFonts w:ascii="Arial"/>
          <w:color w:val="000000"/>
          <w:sz w:val="24"/>
        </w:rPr>
        <w:t>-1 of the ADG.</w:t>
      </w:r>
    </w:p>
    <w:p>
      <w:pPr>
        <w:pStyle w:val="CaselawNumbered1"/>
        <w:numPr>
          <w:ilvl w:val="0"/>
          <w:numId w:val="34"/>
        </w:numPr>
        <w:spacing w:before="150" w:after="0"/>
        <w:ind w:left="1350" w:hanging="750"/>
      </w:pPr>
      <w:r>
        <w:rPr>
          <w:rFonts w:ascii="Arial"/>
          <w:color w:val="000000"/>
          <w:sz w:val="24"/>
        </w:rPr>
        <w:t xml:space="preserve">The proposal </w:t>
      </w:r>
      <w:r>
        <w:rPr>
          <w:rFonts w:ascii="Arial"/>
          <w:color w:val="000000"/>
          <w:sz w:val="24"/>
        </w:rPr>
        <w:t xml:space="preserve">is accompanied by a Natural Ventilation Statement </w:t>
      </w:r>
      <w:r>
        <w:rPr>
          <w:rFonts w:ascii="Arial"/>
          <w:color w:val="000000"/>
          <w:sz w:val="24"/>
        </w:rPr>
        <w:t>prepared</w:t>
      </w:r>
      <w:r>
        <w:rPr>
          <w:rFonts w:ascii="Arial"/>
          <w:color w:val="000000"/>
          <w:sz w:val="24"/>
        </w:rPr>
        <w:t xml:space="preserve"> </w:t>
      </w:r>
      <w:r>
        <w:rPr>
          <w:rFonts w:ascii="Arial"/>
          <w:color w:val="000000"/>
          <w:sz w:val="24"/>
        </w:rPr>
        <w:t xml:space="preserve">by </w:t>
      </w:r>
      <w:r>
        <w:rPr>
          <w:rFonts w:ascii="Arial"/>
          <w:color w:val="000000"/>
          <w:sz w:val="24"/>
        </w:rPr>
        <w:t>Windtech</w:t>
      </w:r>
      <w:r>
        <w:rPr>
          <w:rFonts w:ascii="Arial"/>
          <w:color w:val="000000"/>
          <w:sz w:val="24"/>
        </w:rPr>
        <w:t xml:space="preserve"> </w:t>
      </w:r>
      <w:r>
        <w:rPr>
          <w:rFonts w:ascii="Arial"/>
          <w:color w:val="000000"/>
          <w:sz w:val="24"/>
        </w:rPr>
        <w:t xml:space="preserve">dated 17 June 2022 (Exhibit S) that concludes 71.7% apartments will </w:t>
      </w:r>
      <w:r>
        <w:rPr>
          <w:rFonts w:ascii="Arial"/>
          <w:color w:val="000000"/>
          <w:sz w:val="24"/>
        </w:rPr>
        <w:t xml:space="preserve">achieve natural ventilation, exceeding the requirement </w:t>
      </w:r>
      <w:r>
        <w:rPr>
          <w:rFonts w:ascii="Arial"/>
          <w:color w:val="000000"/>
          <w:sz w:val="24"/>
        </w:rPr>
        <w:t xml:space="preserve">of 60% at Objective 4B-3 of the ADG, </w:t>
      </w:r>
      <w:r>
        <w:rPr>
          <w:rFonts w:ascii="Arial"/>
          <w:color w:val="000000"/>
          <w:sz w:val="24"/>
        </w:rPr>
        <w:t>and</w:t>
      </w:r>
      <w:r>
        <w:rPr>
          <w:rFonts w:ascii="Arial"/>
          <w:color w:val="000000"/>
          <w:sz w:val="24"/>
        </w:rPr>
        <w:t xml:space="preserve"> </w:t>
      </w:r>
      <w:r>
        <w:rPr>
          <w:rFonts w:ascii="Arial"/>
          <w:color w:val="000000"/>
          <w:sz w:val="24"/>
        </w:rPr>
        <w:t xml:space="preserve">demonstrates </w:t>
      </w:r>
      <w:r>
        <w:rPr>
          <w:rFonts w:ascii="Arial"/>
          <w:color w:val="000000"/>
          <w:sz w:val="24"/>
        </w:rPr>
        <w:t>compliance or exceeds compliance with</w:t>
      </w:r>
      <w:r>
        <w:rPr>
          <w:rFonts w:ascii="Arial"/>
          <w:color w:val="000000"/>
          <w:sz w:val="24"/>
        </w:rPr>
        <w:t xml:space="preserve"> </w:t>
      </w:r>
      <w:r>
        <w:rPr>
          <w:rFonts w:ascii="Arial"/>
          <w:color w:val="000000"/>
          <w:sz w:val="24"/>
        </w:rPr>
        <w:t>Objective 4A-1 of the ADG in respect of sunlight</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(3)(e)(viii)</w:t>
      </w:r>
      <w:r>
        <w:rPr>
          <w:rFonts w:ascii="Arial"/>
          <w:color w:val="000000"/>
          <w:sz w:val="24"/>
        </w:rPr>
        <w:t>, and (ix)).</w:t>
      </w:r>
      <w:r>
        <w:rPr>
          <w:rFonts w:ascii="Arial"/>
          <w:color w:val="000000"/>
          <w:sz w:val="24"/>
        </w:rPr>
        <w:t xml:space="preserve"> </w:t>
      </w:r>
    </w:p>
    <w:p>
      <w:pPr>
        <w:pStyle w:val="CaselawNumbered10"/>
        <w:numPr>
          <w:ilvl w:val="0"/>
          <w:numId w:val="35"/>
        </w:numPr>
        <w:spacing w:before="150" w:after="0"/>
        <w:ind w:left="600" w:hanging="600"/>
      </w:pPr>
      <w:r>
        <w:rPr>
          <w:rFonts w:ascii="Arial"/>
          <w:color w:val="000000"/>
          <w:sz w:val="24"/>
        </w:rPr>
        <w:t>I have considered whether</w:t>
      </w:r>
      <w:r>
        <w:rPr>
          <w:rFonts w:ascii="Arial"/>
          <w:color w:val="000000"/>
          <w:sz w:val="24"/>
        </w:rPr>
        <w:t xml:space="preserve"> the form and external appearance of the development will improve the quality and amenity of the public domain</w:t>
      </w:r>
      <w:r>
        <w:rPr>
          <w:rFonts w:ascii="Arial"/>
          <w:color w:val="000000"/>
          <w:sz w:val="24"/>
        </w:rPr>
        <w:t xml:space="preserve"> (</w:t>
      </w:r>
      <w:r>
        <w:rPr>
          <w:rFonts w:ascii="Arial"/>
          <w:color w:val="000000"/>
          <w:sz w:val="24"/>
        </w:rPr>
        <w:t>subcl</w:t>
      </w:r>
      <w:r>
        <w:rPr>
          <w:rFonts w:ascii="Arial"/>
          <w:color w:val="000000"/>
          <w:sz w:val="24"/>
        </w:rPr>
        <w:t xml:space="preserve"> (3)(e)(b))</w:t>
      </w:r>
      <w:r>
        <w:rPr>
          <w:rFonts w:ascii="Arial"/>
          <w:color w:val="000000"/>
          <w:sz w:val="24"/>
        </w:rPr>
        <w:t>. Having regard to the following, I find that the public domain will be improved</w:t>
      </w:r>
      <w:r>
        <w:rPr>
          <w:rFonts w:ascii="Arial"/>
          <w:color w:val="000000"/>
          <w:sz w:val="24"/>
        </w:rPr>
        <w:t>:</w:t>
      </w:r>
    </w:p>
    <w:p>
      <w:pPr>
        <w:pStyle w:val="CaselawNumbered1"/>
        <w:numPr>
          <w:ilvl w:val="0"/>
          <w:numId w:val="36"/>
        </w:numPr>
        <w:spacing w:before="150" w:after="0"/>
        <w:ind w:left="1350" w:hanging="750"/>
      </w:pPr>
      <w:r>
        <w:rPr>
          <w:rFonts w:ascii="Arial"/>
          <w:color w:val="000000"/>
          <w:sz w:val="24"/>
        </w:rPr>
        <w:t xml:space="preserve">The proposal includes a 1200mm wide footpath </w:t>
      </w:r>
      <w:r>
        <w:rPr>
          <w:rFonts w:ascii="Arial"/>
          <w:color w:val="000000"/>
          <w:sz w:val="24"/>
        </w:rPr>
        <w:t xml:space="preserve">that will provide an alternative path for pedestrians, </w:t>
      </w:r>
      <w:r>
        <w:rPr>
          <w:rFonts w:ascii="Arial"/>
          <w:color w:val="000000"/>
          <w:sz w:val="24"/>
        </w:rPr>
        <w:t xml:space="preserve">albeit limited to the site frontage. It is the oral evidence of the </w:t>
      </w:r>
      <w:r>
        <w:rPr>
          <w:rFonts w:ascii="Arial"/>
          <w:color w:val="000000"/>
          <w:sz w:val="24"/>
        </w:rPr>
        <w:t>school principal</w:t>
      </w:r>
      <w:r>
        <w:rPr>
          <w:rFonts w:ascii="Arial"/>
          <w:color w:val="000000"/>
          <w:sz w:val="24"/>
        </w:rPr>
        <w:t>, Mr Boyle,</w:t>
      </w:r>
      <w:r>
        <w:rPr>
          <w:rFonts w:ascii="Arial"/>
          <w:color w:val="000000"/>
          <w:sz w:val="24"/>
        </w:rPr>
        <w:t xml:space="preserve"> </w:t>
      </w:r>
      <w:r>
        <w:rPr>
          <w:rFonts w:ascii="Arial"/>
          <w:color w:val="000000"/>
          <w:sz w:val="24"/>
        </w:rPr>
        <w:t>that children riding and walking to school currently walk on the roadway of Pearl Street.</w:t>
      </w:r>
      <w:r>
        <w:rPr>
          <w:rFonts w:ascii="Arial"/>
          <w:color w:val="000000"/>
          <w:sz w:val="24"/>
        </w:rPr>
        <w:t xml:space="preserve"> </w:t>
      </w:r>
      <w:r>
        <w:rPr>
          <w:rFonts w:ascii="Arial"/>
          <w:color w:val="000000"/>
          <w:sz w:val="24"/>
        </w:rPr>
        <w:t xml:space="preserve">I consider the </w:t>
      </w:r>
      <w:r>
        <w:rPr>
          <w:rFonts w:ascii="Arial"/>
          <w:color w:val="000000"/>
          <w:sz w:val="24"/>
        </w:rPr>
        <w:t>provision of a footpath</w:t>
      </w:r>
      <w:r>
        <w:rPr>
          <w:rFonts w:ascii="Arial"/>
          <w:color w:val="000000"/>
          <w:sz w:val="24"/>
        </w:rPr>
        <w:t xml:space="preserve">, </w:t>
      </w:r>
      <w:r>
        <w:rPr>
          <w:rFonts w:ascii="Arial"/>
          <w:color w:val="000000"/>
          <w:sz w:val="24"/>
        </w:rPr>
        <w:t xml:space="preserve">that the traffic experts agree is documented with a 2.5% crossfall (Exhibit </w:t>
      </w:r>
      <w:r>
        <w:rPr>
          <w:rFonts w:ascii="Arial"/>
          <w:color w:val="000000"/>
          <w:sz w:val="24"/>
        </w:rPr>
        <w:t>11, par 10), to be</w:t>
      </w:r>
      <w:r>
        <w:rPr>
          <w:rFonts w:ascii="Arial"/>
          <w:color w:val="000000"/>
          <w:sz w:val="24"/>
        </w:rPr>
        <w:t xml:space="preserve"> </w:t>
      </w:r>
      <w:r>
        <w:rPr>
          <w:rFonts w:ascii="Arial"/>
          <w:color w:val="000000"/>
          <w:sz w:val="24"/>
        </w:rPr>
        <w:t>an improvement to the amenity of</w:t>
      </w:r>
      <w:r>
        <w:rPr>
          <w:rFonts w:ascii="Arial"/>
          <w:color w:val="000000"/>
          <w:sz w:val="24"/>
        </w:rPr>
        <w:t xml:space="preserve"> </w:t>
      </w:r>
      <w:r>
        <w:rPr>
          <w:rFonts w:ascii="Arial"/>
          <w:color w:val="000000"/>
          <w:sz w:val="24"/>
        </w:rPr>
        <w:t>the public domain in</w:t>
      </w:r>
      <w:r>
        <w:rPr>
          <w:rFonts w:ascii="Arial"/>
          <w:color w:val="000000"/>
          <w:sz w:val="24"/>
        </w:rPr>
        <w:t xml:space="preserve"> </w:t>
      </w:r>
      <w:r>
        <w:rPr>
          <w:rFonts w:ascii="Arial"/>
          <w:color w:val="000000"/>
          <w:sz w:val="24"/>
        </w:rPr>
        <w:t>Pearl Street (</w:t>
      </w:r>
      <w:r>
        <w:rPr>
          <w:rFonts w:ascii="Arial"/>
          <w:color w:val="000000"/>
          <w:sz w:val="24"/>
        </w:rPr>
        <w:t>subcl</w:t>
      </w:r>
      <w:r>
        <w:rPr>
          <w:rFonts w:ascii="Arial"/>
          <w:color w:val="000000"/>
          <w:sz w:val="24"/>
        </w:rPr>
        <w:t xml:space="preserve"> </w:t>
      </w:r>
      <w:r>
        <w:rPr>
          <w:rFonts w:ascii="Arial"/>
          <w:color w:val="000000"/>
          <w:sz w:val="24"/>
        </w:rPr>
        <w:t>(3)(e)(xi)).</w:t>
      </w:r>
    </w:p>
    <w:p>
      <w:pPr>
        <w:pStyle w:val="CaselawNumbered1"/>
        <w:numPr>
          <w:ilvl w:val="0"/>
          <w:numId w:val="36"/>
        </w:numPr>
        <w:spacing w:before="150" w:after="0"/>
        <w:ind w:left="1350" w:hanging="750"/>
      </w:pPr>
      <w:r>
        <w:rPr>
          <w:rFonts w:ascii="Arial"/>
          <w:color w:val="000000"/>
          <w:sz w:val="24"/>
        </w:rPr>
        <w:t>On the basis of the Landscape Plans (Exhibit B), I find t</w:t>
      </w:r>
      <w:r>
        <w:rPr>
          <w:rFonts w:ascii="Arial"/>
          <w:color w:val="000000"/>
          <w:sz w:val="24"/>
        </w:rPr>
        <w:t xml:space="preserve">he proposal generally consistent with Design </w:t>
      </w:r>
      <w:r>
        <w:rPr>
          <w:rFonts w:ascii="Arial"/>
          <w:color w:val="000000"/>
          <w:sz w:val="24"/>
        </w:rPr>
        <w:t xml:space="preserve">Control </w:t>
      </w:r>
      <w:r>
        <w:rPr>
          <w:rFonts w:ascii="Arial"/>
          <w:color w:val="000000"/>
          <w:sz w:val="24"/>
        </w:rPr>
        <w:t xml:space="preserve">1 </w:t>
      </w:r>
      <w:r>
        <w:rPr>
          <w:rFonts w:ascii="Arial"/>
          <w:color w:val="000000"/>
          <w:sz w:val="24"/>
        </w:rPr>
        <w:t xml:space="preserve">– </w:t>
      </w:r>
      <w:r>
        <w:rPr>
          <w:rFonts w:ascii="Arial"/>
          <w:color w:val="000000"/>
          <w:sz w:val="24"/>
        </w:rPr>
        <w:t>Public Domain Amenity</w:t>
      </w:r>
      <w:r>
        <w:rPr>
          <w:rFonts w:ascii="Arial"/>
          <w:color w:val="000000"/>
          <w:sz w:val="24"/>
        </w:rPr>
        <w:t xml:space="preserve">, </w:t>
      </w:r>
      <w:r>
        <w:rPr>
          <w:rFonts w:ascii="Arial"/>
          <w:color w:val="000000"/>
          <w:sz w:val="24"/>
        </w:rPr>
        <w:t xml:space="preserve">Part C of the TDCP, </w:t>
      </w:r>
      <w:r>
        <w:rPr>
          <w:rFonts w:ascii="Arial"/>
          <w:color w:val="000000"/>
          <w:sz w:val="24"/>
        </w:rPr>
        <w:t xml:space="preserve">demonstrating all of the </w:t>
      </w:r>
      <w:r>
        <w:rPr>
          <w:rFonts w:ascii="Arial"/>
          <w:color w:val="000000"/>
          <w:sz w:val="24"/>
        </w:rPr>
        <w:t>aspects of development that are said to help create quality streetscapes</w:t>
      </w:r>
      <w:r>
        <w:rPr>
          <w:rFonts w:ascii="Arial"/>
          <w:color w:val="000000"/>
          <w:sz w:val="24"/>
        </w:rPr>
        <w:t xml:space="preserve"> </w:t>
      </w:r>
      <w:r>
        <w:rPr>
          <w:rFonts w:ascii="Arial"/>
          <w:color w:val="000000"/>
          <w:sz w:val="24"/>
        </w:rPr>
        <w:t>(Exhibit 2, folio 177)</w:t>
      </w:r>
      <w:r>
        <w:rPr>
          <w:rFonts w:ascii="Arial"/>
          <w:color w:val="000000"/>
          <w:sz w:val="24"/>
        </w:rPr>
        <w:t xml:space="preserve">, including; </w:t>
      </w:r>
      <w:r>
        <w:rPr>
          <w:rFonts w:ascii="Arial"/>
          <w:color w:val="000000"/>
          <w:sz w:val="24"/>
        </w:rPr>
        <w:t>front and side boundary landscaping including boundary fences and walls; access and driveway design; widths, materials and location; the building</w:t>
      </w:r>
      <w:r>
        <w:rPr>
          <w:rFonts w:ascii="Arial"/>
          <w:color w:val="000000"/>
          <w:sz w:val="24"/>
        </w:rPr>
        <w:t>’</w:t>
      </w:r>
      <w:r>
        <w:rPr>
          <w:rFonts w:ascii="Arial"/>
          <w:color w:val="000000"/>
          <w:sz w:val="24"/>
        </w:rPr>
        <w:t>s size and shape as seen from the street, front elevation and roof form.</w:t>
      </w:r>
    </w:p>
    <w:p>
      <w:pPr>
        <w:pStyle w:val="CaselawNumbered1"/>
        <w:numPr>
          <w:ilvl w:val="0"/>
          <w:numId w:val="36"/>
        </w:numPr>
        <w:spacing w:before="150" w:after="0"/>
        <w:ind w:left="1350" w:hanging="750"/>
      </w:pPr>
      <w:r>
        <w:rPr>
          <w:rFonts w:ascii="Arial"/>
          <w:color w:val="000000"/>
          <w:sz w:val="24"/>
        </w:rPr>
        <w:t>With respect to</w:t>
      </w:r>
      <w:r>
        <w:rPr>
          <w:rFonts w:ascii="Arial"/>
          <w:color w:val="000000"/>
          <w:sz w:val="24"/>
        </w:rPr>
        <w:t xml:space="preserve"> pedestrian, cycle, vehicular and service access, </w:t>
      </w:r>
      <w:r>
        <w:rPr>
          <w:rFonts w:ascii="Arial"/>
          <w:color w:val="000000"/>
          <w:sz w:val="24"/>
        </w:rPr>
        <w:t>circulation</w:t>
      </w:r>
      <w:r>
        <w:rPr>
          <w:rFonts w:ascii="Arial"/>
          <w:color w:val="000000"/>
          <w:sz w:val="24"/>
        </w:rPr>
        <w:t xml:space="preserve"> </w:t>
      </w:r>
      <w:r>
        <w:rPr>
          <w:rFonts w:ascii="Arial"/>
          <w:color w:val="000000"/>
          <w:sz w:val="24"/>
        </w:rPr>
        <w:t>and requirements</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(3)(e)(</w:t>
      </w:r>
      <w:r>
        <w:rPr>
          <w:rFonts w:ascii="Arial"/>
          <w:color w:val="000000"/>
          <w:sz w:val="24"/>
        </w:rPr>
        <w:t>x)), I note that c</w:t>
      </w:r>
      <w:r>
        <w:rPr>
          <w:rFonts w:ascii="Arial"/>
          <w:color w:val="000000"/>
          <w:sz w:val="24"/>
        </w:rPr>
        <w:t xml:space="preserve">oncern at the adverse impact on traffic flow and on-street parking is a common thread that runs through many of the public submissions. </w:t>
      </w:r>
    </w:p>
    <w:p>
      <w:pPr>
        <w:pStyle w:val="CaselawNumbered1"/>
        <w:numPr>
          <w:ilvl w:val="0"/>
          <w:numId w:val="36"/>
        </w:numPr>
        <w:spacing w:before="150" w:after="0"/>
        <w:ind w:left="1350" w:hanging="750"/>
      </w:pPr>
      <w:r>
        <w:rPr>
          <w:rFonts w:ascii="Arial"/>
          <w:color w:val="000000"/>
          <w:sz w:val="24"/>
        </w:rPr>
        <w:t>The concern is put by one resident of the street in the following terms:</w:t>
      </w:r>
    </w:p>
    <w:p>
      <w:pPr>
        <w:pStyle w:val="CaselawQuote"/>
        <w:spacing w:before="150" w:after="150"/>
        <w:ind w:left="1350"/>
        <w:jc w:val="left"/>
      </w:pPr>
      <w:r>
        <w:rPr>
          <w:rFonts w:ascii="Arial"/>
          <w:color w:val="000000"/>
          <w:sz w:val="22"/>
        </w:rPr>
        <w:t xml:space="preserve">“(a) The Road is not wide enough </w:t>
      </w:r>
      <w:r>
        <w:rPr>
          <w:rFonts w:ascii="Arial"/>
          <w:color w:val="000000"/>
          <w:sz w:val="22"/>
        </w:rPr>
        <w:t>already,</w:t>
      </w:r>
      <w:r>
        <w:rPr>
          <w:rFonts w:ascii="Arial"/>
          <w:color w:val="000000"/>
          <w:sz w:val="22"/>
        </w:rPr>
        <w:t xml:space="preserve"> parking already is constricted.</w:t>
      </w:r>
    </w:p>
    <w:p>
      <w:pPr>
        <w:pStyle w:val="CaselawQuote"/>
        <w:spacing w:before="150" w:after="150"/>
        <w:ind w:left="1350"/>
        <w:jc w:val="left"/>
      </w:pPr>
      <w:r>
        <w:rPr>
          <w:rFonts w:ascii="Arial"/>
          <w:color w:val="000000"/>
          <w:sz w:val="22"/>
        </w:rPr>
        <w:t>(b) The school and church create traffic congestion already</w:t>
      </w:r>
    </w:p>
    <w:p>
      <w:pPr>
        <w:pStyle w:val="CaselawQuote"/>
        <w:spacing w:before="150" w:after="150"/>
        <w:ind w:left="1350"/>
        <w:jc w:val="left"/>
      </w:pPr>
      <w:r>
        <w:rPr>
          <w:rFonts w:ascii="Arial"/>
          <w:color w:val="000000"/>
          <w:sz w:val="22"/>
        </w:rPr>
        <w:t>(c) the number of proposed units and car numbers are grossly over the ability of the street to manage.</w:t>
      </w:r>
    </w:p>
    <w:p>
      <w:pPr>
        <w:pStyle w:val="CaselawQuote"/>
        <w:spacing w:before="150" w:after="150"/>
        <w:ind w:left="1350"/>
        <w:jc w:val="left"/>
      </w:pPr>
      <w:r>
        <w:rPr>
          <w:rFonts w:ascii="Arial"/>
          <w:color w:val="000000"/>
          <w:sz w:val="22"/>
        </w:rPr>
        <w:t>(d) construction noise, cement dust, cement trucks and so on</w:t>
      </w:r>
    </w:p>
    <w:p>
      <w:pPr>
        <w:pStyle w:val="CaselawQuote"/>
        <w:spacing w:before="150" w:after="150"/>
        <w:ind w:left="1350"/>
        <w:jc w:val="left"/>
      </w:pPr>
      <w:r>
        <w:rPr>
          <w:rFonts w:ascii="Arial"/>
          <w:color w:val="000000"/>
          <w:sz w:val="22"/>
        </w:rPr>
        <w:t>(e) garbage skip bins to be located on kerb as in Bay St development</w:t>
      </w:r>
    </w:p>
    <w:p>
      <w:pPr>
        <w:pStyle w:val="CaselawQuote"/>
        <w:spacing w:before="150" w:after="150"/>
        <w:ind w:left="1350"/>
        <w:jc w:val="left"/>
      </w:pPr>
      <w:r>
        <w:rPr>
          <w:rFonts w:ascii="Arial"/>
          <w:color w:val="000000"/>
          <w:sz w:val="22"/>
        </w:rPr>
        <w:t>…”</w:t>
      </w:r>
    </w:p>
    <w:p>
      <w:pPr>
        <w:pStyle w:val="CaselawQuote"/>
        <w:spacing w:before="150" w:after="150"/>
        <w:ind w:left="1350"/>
        <w:jc w:val="left"/>
      </w:pPr>
      <w:r>
        <w:rPr>
          <w:rFonts w:ascii="Arial"/>
          <w:color w:val="000000"/>
          <w:sz w:val="22"/>
        </w:rPr>
        <w:t>(Ex 2, folios 144-145)</w:t>
      </w:r>
    </w:p>
    <w:p>
      <w:pPr>
        <w:pStyle w:val="CaselawNumbered1"/>
        <w:numPr>
          <w:ilvl w:val="0"/>
          <w:numId w:val="37"/>
        </w:numPr>
        <w:spacing w:before="150" w:after="0"/>
        <w:ind w:left="1350" w:hanging="750"/>
      </w:pPr>
      <w:r>
        <w:rPr>
          <w:rFonts w:ascii="Arial"/>
          <w:color w:val="000000"/>
          <w:sz w:val="24"/>
        </w:rPr>
        <w:t xml:space="preserve">Pearl Street is described in the </w:t>
      </w:r>
      <w:r>
        <w:rPr>
          <w:rFonts w:ascii="Arial"/>
          <w:color w:val="000000"/>
          <w:sz w:val="24"/>
        </w:rPr>
        <w:t>Supplementary Traffic Impact Assessment (Exhibit Q) as follows:</w:t>
      </w:r>
    </w:p>
    <w:p>
      <w:pPr>
        <w:pStyle w:val="CaselawQuote"/>
        <w:spacing w:before="150" w:after="150"/>
        <w:ind w:left="1350"/>
        <w:jc w:val="left"/>
      </w:pPr>
      <w:r>
        <w:rPr>
          <w:rFonts w:ascii="Arial"/>
          <w:color w:val="000000"/>
          <w:sz w:val="22"/>
        </w:rPr>
        <w:t>“A local road that traverses north-south between Frances Street in the north and Florence Street in the south. It is subject to a 50km/h speed zoning</w:t>
      </w:r>
      <w:r>
        <w:rPr>
          <w:rFonts w:ascii="Arial"/>
          <w:color w:val="000000"/>
          <w:sz w:val="22"/>
        </w:rPr>
        <w:t xml:space="preserve"> and carries a single lane of traffic in each direction, permitting kerbside parking along either side of the road.”</w:t>
      </w:r>
    </w:p>
    <w:p>
      <w:pPr>
        <w:pStyle w:val="CaselawNumbered1"/>
        <w:numPr>
          <w:ilvl w:val="0"/>
          <w:numId w:val="38"/>
        </w:numPr>
        <w:spacing w:before="150" w:after="0"/>
        <w:ind w:left="1350" w:hanging="750"/>
      </w:pPr>
      <w:r>
        <w:rPr>
          <w:rFonts w:ascii="Arial"/>
          <w:color w:val="000000"/>
          <w:sz w:val="24"/>
        </w:rPr>
        <w:t>T</w:t>
      </w:r>
      <w:r>
        <w:rPr>
          <w:rFonts w:ascii="Arial"/>
          <w:color w:val="000000"/>
          <w:sz w:val="24"/>
        </w:rPr>
        <w:t xml:space="preserve">raffic generated by the proposal is assessed as 51 vehicle trips per hour in the morning </w:t>
      </w:r>
      <w:r>
        <w:rPr>
          <w:rFonts w:ascii="Arial"/>
          <w:color w:val="000000"/>
          <w:sz w:val="24"/>
        </w:rPr>
        <w:t xml:space="preserve">peak period, and 31 </w:t>
      </w:r>
      <w:r>
        <w:rPr>
          <w:rFonts w:ascii="Arial"/>
          <w:color w:val="000000"/>
          <w:sz w:val="24"/>
        </w:rPr>
        <w:t>vehicle</w:t>
      </w:r>
      <w:r>
        <w:rPr>
          <w:rFonts w:ascii="Arial"/>
          <w:color w:val="000000"/>
          <w:sz w:val="24"/>
        </w:rPr>
        <w:t xml:space="preserve"> </w:t>
      </w:r>
      <w:r>
        <w:rPr>
          <w:rFonts w:ascii="Arial"/>
          <w:color w:val="000000"/>
          <w:sz w:val="24"/>
        </w:rPr>
        <w:t>trips in the evening peak period.</w:t>
      </w:r>
      <w:r>
        <w:rPr>
          <w:rFonts w:ascii="Arial"/>
          <w:color w:val="000000"/>
          <w:sz w:val="24"/>
        </w:rPr>
        <w:t xml:space="preserve"> </w:t>
      </w:r>
      <w:r>
        <w:rPr>
          <w:rFonts w:ascii="Arial"/>
          <w:color w:val="000000"/>
          <w:sz w:val="24"/>
        </w:rPr>
        <w:t xml:space="preserve">75% of traffic likely to enter </w:t>
      </w:r>
      <w:r>
        <w:rPr>
          <w:rFonts w:ascii="Arial"/>
          <w:color w:val="000000"/>
          <w:sz w:val="24"/>
        </w:rPr>
        <w:t xml:space="preserve">and exit </w:t>
      </w:r>
      <w:r>
        <w:rPr>
          <w:rFonts w:ascii="Arial"/>
          <w:color w:val="000000"/>
          <w:sz w:val="24"/>
        </w:rPr>
        <w:t>Pearl Street</w:t>
      </w:r>
      <w:r>
        <w:rPr>
          <w:rFonts w:ascii="Arial"/>
          <w:color w:val="000000"/>
          <w:sz w:val="24"/>
        </w:rPr>
        <w:t xml:space="preserve"> </w:t>
      </w:r>
      <w:r>
        <w:rPr>
          <w:rFonts w:ascii="Arial"/>
          <w:color w:val="000000"/>
          <w:sz w:val="24"/>
        </w:rPr>
        <w:t>from Frances Street to the north.</w:t>
      </w:r>
    </w:p>
    <w:p>
      <w:pPr>
        <w:pStyle w:val="CaselawNumbered1"/>
        <w:numPr>
          <w:ilvl w:val="0"/>
          <w:numId w:val="38"/>
        </w:numPr>
        <w:spacing w:before="150" w:after="0"/>
        <w:ind w:left="1350" w:hanging="750"/>
      </w:pPr>
      <w:r>
        <w:rPr>
          <w:rFonts w:ascii="Arial"/>
          <w:color w:val="000000"/>
          <w:sz w:val="24"/>
        </w:rPr>
        <w:t>Traffic surveys were undertaken on Wednesday 27 April 2022</w:t>
      </w:r>
      <w:r>
        <w:rPr>
          <w:rFonts w:ascii="Arial"/>
          <w:color w:val="000000"/>
          <w:sz w:val="24"/>
        </w:rPr>
        <w:t xml:space="preserve">. While public submissions </w:t>
      </w:r>
      <w:r>
        <w:rPr>
          <w:rFonts w:ascii="Arial"/>
          <w:color w:val="000000"/>
          <w:sz w:val="24"/>
        </w:rPr>
        <w:t xml:space="preserve">state the period in which the survey was undertaken did not provide for events at the Church, I note the surveys were conducted </w:t>
      </w:r>
      <w:r>
        <w:rPr>
          <w:rFonts w:ascii="Arial"/>
          <w:color w:val="000000"/>
          <w:sz w:val="24"/>
        </w:rPr>
        <w:t>during what is identified as the morning peak period (7am-9am), and the evening peak period (3pm-6pm)</w:t>
      </w:r>
      <w:r>
        <w:rPr>
          <w:rFonts w:ascii="Arial"/>
          <w:color w:val="000000"/>
          <w:sz w:val="24"/>
        </w:rPr>
        <w:t>, which I regard as appropriate</w:t>
      </w:r>
      <w:r>
        <w:rPr>
          <w:rFonts w:ascii="Arial"/>
          <w:color w:val="000000"/>
          <w:sz w:val="24"/>
        </w:rPr>
        <w:t xml:space="preserve">, and which found peak </w:t>
      </w:r>
      <w:r>
        <w:rPr>
          <w:rFonts w:ascii="Arial"/>
          <w:color w:val="000000"/>
          <w:sz w:val="24"/>
        </w:rPr>
        <w:t>period for on-street parking was between 3.45pm-4pm, presumably related to school pick up.</w:t>
      </w:r>
    </w:p>
    <w:p>
      <w:pPr>
        <w:pStyle w:val="CaselawNumbered1"/>
        <w:numPr>
          <w:ilvl w:val="0"/>
          <w:numId w:val="38"/>
        </w:numPr>
        <w:spacing w:before="150" w:after="0"/>
        <w:ind w:left="1350" w:hanging="750"/>
      </w:pPr>
      <w:r>
        <w:rPr>
          <w:rFonts w:ascii="Arial"/>
          <w:color w:val="000000"/>
          <w:sz w:val="24"/>
        </w:rPr>
        <w:t>The parties agree that the number of parking spaces provided on site for residents and visitors conforms to the</w:t>
      </w:r>
      <w:r>
        <w:rPr>
          <w:rFonts w:ascii="Arial"/>
          <w:color w:val="000000"/>
          <w:sz w:val="24"/>
        </w:rPr>
        <w:t xml:space="preserve"> </w:t>
      </w:r>
      <w:r>
        <w:rPr>
          <w:rFonts w:ascii="Arial"/>
          <w:color w:val="000000"/>
          <w:sz w:val="24"/>
        </w:rPr>
        <w:t xml:space="preserve">requirements of </w:t>
      </w:r>
      <w:r>
        <w:rPr>
          <w:rFonts w:ascii="Arial"/>
          <w:color w:val="000000"/>
          <w:sz w:val="24"/>
        </w:rPr>
        <w:t>Section A2 of the TDCP that deals with Site Access and Parking</w:t>
      </w:r>
      <w:r>
        <w:rPr>
          <w:rFonts w:ascii="Arial"/>
          <w:color w:val="000000"/>
          <w:sz w:val="24"/>
        </w:rPr>
        <w:t>.</w:t>
      </w:r>
    </w:p>
    <w:p>
      <w:pPr>
        <w:pStyle w:val="CaselawNumbered1"/>
        <w:numPr>
          <w:ilvl w:val="0"/>
          <w:numId w:val="38"/>
        </w:numPr>
        <w:spacing w:before="150" w:after="0"/>
        <w:ind w:left="1350" w:hanging="750"/>
      </w:pPr>
      <w:r>
        <w:rPr>
          <w:rFonts w:ascii="Arial"/>
          <w:color w:val="000000"/>
          <w:sz w:val="24"/>
        </w:rPr>
        <w:t xml:space="preserve">The resident at No 6 Pearl Street noted that the traffic impacts worsen during garbage collection </w:t>
      </w:r>
      <w:r>
        <w:rPr>
          <w:rFonts w:ascii="Arial"/>
          <w:color w:val="000000"/>
          <w:sz w:val="24"/>
        </w:rPr>
        <w:t>times, and</w:t>
      </w:r>
      <w:r>
        <w:rPr>
          <w:rFonts w:ascii="Arial"/>
          <w:color w:val="000000"/>
          <w:sz w:val="24"/>
        </w:rPr>
        <w:t xml:space="preserve"> </w:t>
      </w:r>
      <w:r>
        <w:rPr>
          <w:rFonts w:ascii="Arial"/>
          <w:color w:val="000000"/>
          <w:sz w:val="24"/>
        </w:rPr>
        <w:t xml:space="preserve">provides photographic evidence </w:t>
      </w:r>
      <w:r>
        <w:rPr>
          <w:rFonts w:ascii="Arial"/>
          <w:color w:val="000000"/>
          <w:sz w:val="24"/>
        </w:rPr>
        <w:t>(Exhibit 7) of bins located on Pearl Street, and those on Enid Street, which is a wider street.</w:t>
      </w:r>
    </w:p>
    <w:p>
      <w:pPr>
        <w:pStyle w:val="CaselawNumbered1"/>
        <w:numPr>
          <w:ilvl w:val="0"/>
          <w:numId w:val="38"/>
        </w:numPr>
        <w:spacing w:before="150" w:after="0"/>
        <w:ind w:left="1350" w:hanging="750"/>
      </w:pPr>
      <w:r>
        <w:rPr>
          <w:rFonts w:ascii="Arial"/>
          <w:color w:val="000000"/>
          <w:sz w:val="24"/>
        </w:rPr>
        <w:t xml:space="preserve">The Operational Waste Management Plan prepared by Elephants Foot dated 13 June 2022 (Exhibit N) identifies that waste collection is to occur onsite, with all waste bins to </w:t>
      </w:r>
      <w:r>
        <w:rPr>
          <w:rFonts w:ascii="Arial"/>
          <w:color w:val="000000"/>
          <w:sz w:val="24"/>
        </w:rPr>
        <w:t>be located in</w:t>
      </w:r>
      <w:r>
        <w:rPr>
          <w:rFonts w:ascii="Arial"/>
          <w:color w:val="000000"/>
          <w:sz w:val="24"/>
        </w:rPr>
        <w:t xml:space="preserve"> </w:t>
      </w:r>
      <w:r>
        <w:rPr>
          <w:rFonts w:ascii="Arial"/>
          <w:color w:val="000000"/>
          <w:sz w:val="24"/>
        </w:rPr>
        <w:t xml:space="preserve">the bin holding room. </w:t>
      </w:r>
    </w:p>
    <w:p>
      <w:pPr>
        <w:pStyle w:val="CaselawNumbered1"/>
        <w:numPr>
          <w:ilvl w:val="0"/>
          <w:numId w:val="38"/>
        </w:numPr>
        <w:spacing w:before="150" w:after="0"/>
        <w:ind w:left="1350" w:hanging="750"/>
      </w:pPr>
      <w:r>
        <w:rPr>
          <w:rFonts w:ascii="Arial"/>
          <w:color w:val="000000"/>
          <w:sz w:val="24"/>
        </w:rPr>
        <w:t xml:space="preserve">Likewise, the Amended Traffic Impact Assessment (Exhibit Q) prepared by </w:t>
      </w:r>
      <w:r>
        <w:rPr>
          <w:rFonts w:ascii="Arial"/>
          <w:color w:val="000000"/>
          <w:sz w:val="24"/>
        </w:rPr>
        <w:t>Traffix</w:t>
      </w:r>
      <w:r>
        <w:rPr>
          <w:rFonts w:ascii="Arial"/>
          <w:color w:val="000000"/>
          <w:sz w:val="24"/>
        </w:rPr>
        <w:t xml:space="preserve"> </w:t>
      </w:r>
      <w:r>
        <w:rPr>
          <w:rFonts w:ascii="Arial"/>
          <w:color w:val="000000"/>
          <w:sz w:val="24"/>
        </w:rPr>
        <w:t>dated June 2022 confirms, at Section 5.5, provision of a servicing bay sized to accommodate a 9.5m waste collection vehicle, and larger vehicles such as removalist vans and the like.</w:t>
      </w:r>
    </w:p>
    <w:p>
      <w:pPr>
        <w:pStyle w:val="CaselawNumbered1"/>
        <w:numPr>
          <w:ilvl w:val="0"/>
          <w:numId w:val="38"/>
        </w:numPr>
        <w:spacing w:before="150" w:after="0"/>
        <w:ind w:left="1350" w:hanging="750"/>
      </w:pPr>
      <w:r>
        <w:rPr>
          <w:rFonts w:ascii="Arial"/>
          <w:color w:val="000000"/>
          <w:sz w:val="24"/>
        </w:rPr>
        <w:t xml:space="preserve">Relevantly, the supplementary traffic joint expert report (Exhibit 11) provides, at Annexure F, swept path analysis of a 9.5m Council waste vehicle and, at Annexure H, sectional drawings to demonstrate sufficient vertical clearance for a 12.5m Heavy Rigid Vehicle. </w:t>
      </w:r>
    </w:p>
    <w:p>
      <w:pPr>
        <w:pStyle w:val="CaselawNumbered1"/>
        <w:numPr>
          <w:ilvl w:val="0"/>
          <w:numId w:val="38"/>
        </w:numPr>
        <w:spacing w:before="150" w:after="0"/>
        <w:ind w:left="1350" w:hanging="750"/>
      </w:pPr>
      <w:r>
        <w:rPr>
          <w:rFonts w:ascii="Arial"/>
          <w:color w:val="000000"/>
          <w:sz w:val="24"/>
        </w:rPr>
        <w:t>The experts, at par 31 of Exhibit 11 agree:</w:t>
      </w:r>
    </w:p>
    <w:p>
      <w:pPr>
        <w:pStyle w:val="CaselawQuote"/>
        <w:spacing w:before="150" w:after="150"/>
        <w:ind w:left="1350"/>
        <w:jc w:val="left"/>
      </w:pPr>
      <w:r>
        <w:rPr>
          <w:rFonts w:ascii="Arial"/>
          <w:color w:val="000000"/>
          <w:sz w:val="22"/>
        </w:rPr>
        <w:t xml:space="preserve">Both experts agree the vertical clearance tests (including undercarriage) undertaken for a 12.5m long Heavy Rigid Vehicle (HRV) provided in </w:t>
      </w:r>
      <w:r>
        <w:rPr>
          <w:rFonts w:ascii="Arial"/>
          <w:b/>
          <w:color w:val="000000"/>
          <w:sz w:val="22"/>
        </w:rPr>
        <w:t xml:space="preserve">Annexure H </w:t>
      </w:r>
      <w:r>
        <w:rPr>
          <w:rFonts w:ascii="Arial"/>
          <w:color w:val="000000"/>
          <w:sz w:val="22"/>
        </w:rPr>
        <w:t xml:space="preserve">demonstrates compliant headroom and satisfactory undercarriage clearance. Accordingly, a Typical Side Lift Council Garbage Truck being 9.5m long would readily be accommodated and will operate satisfactorily with sufficient headroom. </w:t>
      </w:r>
    </w:p>
    <w:p>
      <w:pPr>
        <w:pStyle w:val="CaselawNumbered1"/>
        <w:numPr>
          <w:ilvl w:val="0"/>
          <w:numId w:val="39"/>
        </w:numPr>
        <w:spacing w:before="150" w:after="0"/>
        <w:ind w:left="1350" w:hanging="750"/>
      </w:pPr>
      <w:r>
        <w:rPr>
          <w:rFonts w:ascii="Arial"/>
          <w:color w:val="000000"/>
          <w:sz w:val="24"/>
        </w:rPr>
        <w:t>Additionally, I note Condition 41 of the agreed conditions of consent requires further verification of traffic movement prior to the issue of the Construction Certificate as follows:</w:t>
      </w:r>
    </w:p>
    <w:p>
      <w:pPr>
        <w:pStyle w:val="CaselawQuote"/>
        <w:spacing w:before="150" w:after="150"/>
        <w:ind w:left="1350"/>
        <w:jc w:val="left"/>
      </w:pPr>
      <w:r>
        <w:rPr>
          <w:rFonts w:ascii="Arial"/>
          <w:color w:val="000000"/>
          <w:sz w:val="22"/>
        </w:rPr>
        <w:t xml:space="preserve">Prior to the issue of a construction certificate, the Applicant shall submit </w:t>
      </w:r>
      <w:r>
        <w:rPr>
          <w:rFonts w:ascii="Arial"/>
          <w:color w:val="000000"/>
          <w:sz w:val="22"/>
        </w:rPr>
        <w:t>and obtain approval from Councils General Manager or delegate, a detailed "Design" certificate from an experienced and qualified traffic engineer with tertiary qualifications</w:t>
      </w:r>
      <w:r>
        <w:rPr>
          <w:rFonts w:ascii="Arial"/>
          <w:color w:val="000000"/>
          <w:sz w:val="22"/>
        </w:rPr>
        <w:t xml:space="preserve">. The certification shall certify that the design of the following matters </w:t>
      </w:r>
      <w:r>
        <w:rPr>
          <w:rFonts w:ascii="Arial"/>
          <w:color w:val="000000"/>
          <w:sz w:val="22"/>
        </w:rPr>
        <w:t>comply</w:t>
      </w:r>
      <w:r>
        <w:rPr>
          <w:rFonts w:ascii="Arial"/>
          <w:color w:val="000000"/>
          <w:sz w:val="22"/>
        </w:rPr>
        <w:t xml:space="preserve"> with relevant clauses of AS2890.1-2004 (cars and motorcycles), AS2890.2:2018 (commercial vehicles, restricted in length to Council’s 9.5m long Waste Collection Vehicle), AS2890.6-2009 (disabled parking) and AS2890.3-2015 (bicycles):</w:t>
      </w:r>
    </w:p>
    <w:p>
      <w:pPr>
        <w:pStyle w:val="CaselawQuote"/>
        <w:spacing w:before="150" w:after="150"/>
        <w:ind w:left="1350"/>
        <w:jc w:val="left"/>
      </w:pPr>
      <w:r>
        <w:rPr>
          <w:rFonts w:ascii="Arial"/>
          <w:color w:val="000000"/>
          <w:sz w:val="22"/>
        </w:rPr>
        <w:t>(a) The vehicular access to and from the site.</w:t>
      </w:r>
    </w:p>
    <w:p>
      <w:pPr>
        <w:pStyle w:val="CaselawQuote"/>
        <w:spacing w:before="150" w:after="150"/>
        <w:ind w:left="1350"/>
        <w:jc w:val="left"/>
      </w:pPr>
      <w:r>
        <w:rPr>
          <w:rFonts w:ascii="Arial"/>
          <w:color w:val="000000"/>
          <w:sz w:val="22"/>
        </w:rPr>
        <w:t>(b) Internal vehicular circulation ramps.</w:t>
      </w:r>
    </w:p>
    <w:p>
      <w:pPr>
        <w:pStyle w:val="CaselawQuote"/>
        <w:spacing w:before="150" w:after="150"/>
        <w:ind w:left="1350"/>
        <w:jc w:val="left"/>
      </w:pPr>
      <w:r>
        <w:rPr>
          <w:rFonts w:ascii="Arial"/>
          <w:color w:val="000000"/>
          <w:sz w:val="22"/>
        </w:rPr>
        <w:t>(c) Off-street commercial vehicle loading area / bay</w:t>
      </w:r>
      <w:r>
        <w:rPr>
          <w:rFonts w:ascii="Arial"/>
          <w:color w:val="000000"/>
          <w:sz w:val="22"/>
        </w:rPr>
        <w:t xml:space="preserve"> and </w:t>
      </w:r>
      <w:r>
        <w:rPr>
          <w:rFonts w:ascii="Arial"/>
          <w:color w:val="000000"/>
          <w:sz w:val="22"/>
        </w:rPr>
        <w:t>associated</w:t>
      </w:r>
      <w:r>
        <w:rPr>
          <w:rFonts w:ascii="Arial"/>
          <w:color w:val="000000"/>
          <w:sz w:val="22"/>
        </w:rPr>
        <w:t xml:space="preserve"> access / manoeuvring area, limited to a maximum rigid truck length of 9.5m.</w:t>
      </w:r>
    </w:p>
    <w:p>
      <w:pPr>
        <w:pStyle w:val="CaselawQuote"/>
        <w:spacing w:before="150" w:after="150"/>
        <w:ind w:left="1350"/>
        <w:jc w:val="left"/>
      </w:pPr>
      <w:r>
        <w:rPr>
          <w:rFonts w:ascii="Arial"/>
          <w:color w:val="000000"/>
          <w:sz w:val="22"/>
        </w:rPr>
        <w:t>(d) Off-street</w:t>
      </w:r>
      <w:r>
        <w:rPr>
          <w:rFonts w:ascii="Arial"/>
          <w:color w:val="000000"/>
          <w:sz w:val="22"/>
        </w:rPr>
        <w:t xml:space="preserve"> parking provision and compliant access / manoeuvring for cars, </w:t>
      </w:r>
      <w:r>
        <w:rPr>
          <w:rFonts w:ascii="Arial"/>
          <w:color w:val="000000"/>
          <w:sz w:val="22"/>
        </w:rPr>
        <w:t>motorcycles</w:t>
      </w:r>
      <w:r>
        <w:rPr>
          <w:rFonts w:ascii="Arial"/>
          <w:color w:val="000000"/>
          <w:sz w:val="22"/>
        </w:rPr>
        <w:t xml:space="preserve"> and bicycles</w:t>
      </w:r>
      <w:r>
        <w:rPr>
          <w:rFonts w:ascii="Arial"/>
          <w:color w:val="000000"/>
          <w:sz w:val="22"/>
        </w:rPr>
        <w:t>.</w:t>
      </w:r>
    </w:p>
    <w:p>
      <w:pPr>
        <w:pStyle w:val="CaselawQuote"/>
        <w:spacing w:before="150" w:after="150"/>
        <w:ind w:left="1350"/>
        <w:jc w:val="left"/>
      </w:pPr>
      <w:r>
        <w:rPr>
          <w:rFonts w:ascii="Arial"/>
          <w:color w:val="000000"/>
          <w:sz w:val="22"/>
        </w:rPr>
        <w:t>(e) T</w:t>
      </w:r>
      <w:r>
        <w:rPr>
          <w:rFonts w:ascii="Arial"/>
          <w:color w:val="000000"/>
          <w:sz w:val="22"/>
        </w:rPr>
        <w:t xml:space="preserve">hat </w:t>
      </w:r>
      <w:r>
        <w:rPr>
          <w:rFonts w:ascii="Arial"/>
          <w:color w:val="000000"/>
          <w:sz w:val="22"/>
        </w:rPr>
        <w:t>the above listed matters</w:t>
      </w:r>
      <w:r>
        <w:rPr>
          <w:rFonts w:ascii="Arial"/>
          <w:color w:val="000000"/>
          <w:sz w:val="22"/>
        </w:rPr>
        <w:t xml:space="preserve"> have been </w:t>
      </w:r>
      <w:r>
        <w:rPr>
          <w:rFonts w:ascii="Arial"/>
          <w:color w:val="000000"/>
          <w:sz w:val="22"/>
        </w:rPr>
        <w:t>designed</w:t>
      </w:r>
      <w:r>
        <w:rPr>
          <w:rFonts w:ascii="Arial"/>
          <w:color w:val="000000"/>
          <w:sz w:val="22"/>
        </w:rPr>
        <w:t xml:space="preserve"> in accordance with </w:t>
      </w:r>
      <w:r>
        <w:rPr>
          <w:rFonts w:ascii="Arial"/>
          <w:color w:val="000000"/>
          <w:sz w:val="22"/>
        </w:rPr>
        <w:t>the approved plans and specifications.</w:t>
      </w:r>
    </w:p>
    <w:p>
      <w:pPr>
        <w:pStyle w:val="CaselawQuote"/>
        <w:spacing w:before="150" w:after="150"/>
        <w:ind w:left="1350"/>
        <w:jc w:val="left"/>
      </w:pPr>
      <w:r>
        <w:rPr>
          <w:rFonts w:ascii="Arial"/>
          <w:color w:val="000000"/>
          <w:sz w:val="22"/>
        </w:rPr>
        <w:t>(f) That all vehicles outlined above can enter and leave the site in a forward direction.</w:t>
      </w:r>
      <w:r>
        <w:rPr>
          <w:rFonts w:ascii="Arial"/>
          <w:color w:val="000000"/>
          <w:sz w:val="22"/>
        </w:rPr>
        <w:t xml:space="preserve"> </w:t>
      </w:r>
    </w:p>
    <w:p>
      <w:pPr>
        <w:pStyle w:val="CaselawQuote"/>
        <w:spacing w:before="150" w:after="150"/>
        <w:ind w:left="1350"/>
        <w:jc w:val="left"/>
      </w:pPr>
      <w:r>
        <w:rPr>
          <w:rFonts w:ascii="Arial"/>
          <w:color w:val="000000"/>
          <w:sz w:val="22"/>
        </w:rPr>
        <w:t xml:space="preserve">(g) The </w:t>
      </w:r>
      <w:r>
        <w:rPr>
          <w:rFonts w:ascii="Arial"/>
          <w:color w:val="000000"/>
          <w:sz w:val="22"/>
        </w:rPr>
        <w:t>sight line for drivers of vehicles leaving the Site complies with</w:t>
      </w:r>
      <w:r>
        <w:rPr>
          <w:rFonts w:ascii="Arial"/>
          <w:i/>
          <w:color w:val="000000"/>
          <w:sz w:val="22"/>
        </w:rPr>
        <w:t xml:space="preserve"> Clause 3.2.4</w:t>
      </w:r>
      <w:r>
        <w:rPr>
          <w:rFonts w:ascii="Arial"/>
          <w:color w:val="000000"/>
          <w:sz w:val="22"/>
        </w:rPr>
        <w:t xml:space="preserve"> and </w:t>
      </w:r>
      <w:r>
        <w:rPr>
          <w:rFonts w:ascii="Arial"/>
          <w:i/>
          <w:color w:val="000000"/>
          <w:sz w:val="22"/>
        </w:rPr>
        <w:t>Figure 3.3</w:t>
      </w:r>
      <w:r>
        <w:rPr>
          <w:rFonts w:ascii="Arial"/>
          <w:color w:val="000000"/>
          <w:sz w:val="22"/>
        </w:rPr>
        <w:t xml:space="preserve"> of </w:t>
      </w:r>
      <w:r>
        <w:rPr>
          <w:rFonts w:ascii="Arial"/>
          <w:i/>
          <w:color w:val="000000"/>
          <w:sz w:val="22"/>
        </w:rPr>
        <w:t>AS2890.1-2004</w:t>
      </w:r>
      <w:r>
        <w:rPr>
          <w:rFonts w:ascii="Arial"/>
          <w:color w:val="000000"/>
          <w:sz w:val="22"/>
        </w:rPr>
        <w:t xml:space="preserve"> with design certification of that aspect included. </w:t>
      </w:r>
    </w:p>
    <w:p>
      <w:pPr>
        <w:pStyle w:val="CaselawNumbered1"/>
        <w:numPr>
          <w:ilvl w:val="0"/>
          <w:numId w:val="40"/>
        </w:numPr>
        <w:spacing w:before="150" w:after="0"/>
        <w:ind w:left="1350" w:hanging="750"/>
      </w:pPr>
      <w:r>
        <w:rPr>
          <w:rFonts w:ascii="Arial"/>
          <w:color w:val="000000"/>
          <w:sz w:val="24"/>
        </w:rPr>
        <w:t>I accept the conclusion of the Amended Traffic Impact Assessment</w:t>
      </w:r>
      <w:r>
        <w:rPr>
          <w:rFonts w:ascii="Arial"/>
          <w:color w:val="000000"/>
          <w:sz w:val="24"/>
        </w:rPr>
        <w:t xml:space="preserve"> </w:t>
      </w:r>
      <w:r>
        <w:rPr>
          <w:rFonts w:ascii="Arial"/>
          <w:color w:val="000000"/>
          <w:sz w:val="24"/>
        </w:rPr>
        <w:t xml:space="preserve">that </w:t>
      </w:r>
      <w:r>
        <w:rPr>
          <w:rFonts w:ascii="Arial"/>
          <w:color w:val="000000"/>
          <w:sz w:val="24"/>
        </w:rPr>
        <w:t>as a result of</w:t>
      </w:r>
      <w:r>
        <w:rPr>
          <w:rFonts w:ascii="Arial"/>
          <w:color w:val="000000"/>
          <w:sz w:val="24"/>
        </w:rPr>
        <w:t xml:space="preserve"> </w:t>
      </w:r>
      <w:r>
        <w:rPr>
          <w:rFonts w:ascii="Arial"/>
          <w:color w:val="000000"/>
          <w:sz w:val="24"/>
        </w:rPr>
        <w:t>the proposed development, some increase in delay at intersections of Pearl Street with Frances and Florence Street, and at the intersection of Frances and Wharf Street will be experienced, but that the Level of Service (</w:t>
      </w:r>
      <w:r>
        <w:rPr>
          <w:rFonts w:ascii="Arial"/>
          <w:color w:val="000000"/>
          <w:sz w:val="24"/>
        </w:rPr>
        <w:t>LoS</w:t>
      </w:r>
      <w:r>
        <w:rPr>
          <w:rFonts w:ascii="Arial"/>
          <w:color w:val="000000"/>
          <w:sz w:val="24"/>
        </w:rPr>
        <w:t xml:space="preserve">) remains at the highest level of </w:t>
      </w:r>
      <w:r>
        <w:rPr>
          <w:rFonts w:ascii="Arial"/>
          <w:color w:val="000000"/>
          <w:sz w:val="24"/>
        </w:rPr>
        <w:t>LoS</w:t>
      </w:r>
      <w:r>
        <w:rPr>
          <w:rFonts w:ascii="Arial"/>
          <w:color w:val="000000"/>
          <w:sz w:val="24"/>
        </w:rPr>
        <w:t>.</w:t>
      </w:r>
    </w:p>
    <w:p>
      <w:pPr>
        <w:pStyle w:val="CaselawNumbered1"/>
        <w:numPr>
          <w:ilvl w:val="0"/>
          <w:numId w:val="40"/>
        </w:numPr>
        <w:spacing w:before="150" w:after="0"/>
        <w:ind w:left="1350" w:hanging="750"/>
      </w:pPr>
      <w:r>
        <w:rPr>
          <w:rFonts w:ascii="Arial"/>
          <w:color w:val="000000"/>
          <w:sz w:val="24"/>
        </w:rPr>
        <w:t>With respect to the concern for student safety expressed by the Principal of St Joseph</w:t>
      </w:r>
      <w:r>
        <w:rPr>
          <w:rFonts w:ascii="Arial"/>
          <w:color w:val="000000"/>
          <w:sz w:val="24"/>
        </w:rPr>
        <w:t>’</w:t>
      </w:r>
      <w:r>
        <w:rPr>
          <w:rFonts w:ascii="Arial"/>
          <w:color w:val="000000"/>
          <w:sz w:val="24"/>
        </w:rPr>
        <w:t xml:space="preserve">s School, I note the Supplementary Traffic joint expert records the agreement of the experts that pedestrian sight triangles are clear of vertical obstructions and are noted on the amended plans, that the </w:t>
      </w:r>
      <w:r>
        <w:rPr>
          <w:rFonts w:ascii="Arial"/>
          <w:color w:val="000000"/>
          <w:sz w:val="24"/>
        </w:rPr>
        <w:t>sight distance diagram provided in Annexure E demonstrate</w:t>
      </w:r>
      <w:r>
        <w:rPr>
          <w:rFonts w:ascii="Arial"/>
          <w:color w:val="000000"/>
          <w:sz w:val="24"/>
        </w:rPr>
        <w:t>s that the</w:t>
      </w:r>
      <w:r>
        <w:rPr>
          <w:rFonts w:ascii="Arial"/>
          <w:color w:val="000000"/>
          <w:sz w:val="24"/>
        </w:rPr>
        <w:t xml:space="preserve"> </w:t>
      </w:r>
      <w:r>
        <w:rPr>
          <w:rFonts w:ascii="Arial"/>
          <w:color w:val="000000"/>
          <w:sz w:val="24"/>
        </w:rPr>
        <w:t xml:space="preserve">minimum stopping sight distance for a 50km/h frontage road is </w:t>
      </w:r>
      <w:r>
        <w:rPr>
          <w:rFonts w:ascii="Arial"/>
          <w:color w:val="000000"/>
          <w:sz w:val="24"/>
        </w:rPr>
        <w:t>achieved along Pearl Street in both directions and</w:t>
      </w:r>
      <w:r>
        <w:rPr>
          <w:rFonts w:ascii="Arial"/>
          <w:color w:val="000000"/>
          <w:sz w:val="24"/>
        </w:rPr>
        <w:t xml:space="preserve"> </w:t>
      </w:r>
      <w:r>
        <w:rPr>
          <w:rFonts w:ascii="Arial"/>
          <w:color w:val="000000"/>
          <w:sz w:val="24"/>
        </w:rPr>
        <w:t>swept path tests</w:t>
      </w:r>
      <w:r>
        <w:rPr>
          <w:rFonts w:ascii="Arial"/>
          <w:color w:val="000000"/>
          <w:sz w:val="24"/>
        </w:rPr>
        <w:t xml:space="preserve"> </w:t>
      </w:r>
      <w:r>
        <w:rPr>
          <w:rFonts w:ascii="Arial"/>
          <w:color w:val="000000"/>
          <w:sz w:val="24"/>
        </w:rPr>
        <w:t>confirm</w:t>
      </w:r>
      <w:r>
        <w:rPr>
          <w:rFonts w:ascii="Arial"/>
          <w:color w:val="000000"/>
          <w:sz w:val="24"/>
        </w:rPr>
        <w:t xml:space="preserve"> </w:t>
      </w:r>
      <w:r>
        <w:rPr>
          <w:rFonts w:ascii="Arial"/>
          <w:color w:val="000000"/>
          <w:sz w:val="24"/>
        </w:rPr>
        <w:t xml:space="preserve">that </w:t>
      </w:r>
      <w:r>
        <w:rPr>
          <w:rFonts w:ascii="Arial"/>
          <w:color w:val="000000"/>
          <w:sz w:val="24"/>
        </w:rPr>
        <w:t>large</w:t>
      </w:r>
      <w:r>
        <w:rPr>
          <w:rFonts w:ascii="Arial"/>
          <w:color w:val="000000"/>
          <w:sz w:val="24"/>
        </w:rPr>
        <w:t xml:space="preserve"> </w:t>
      </w:r>
      <w:r>
        <w:rPr>
          <w:rFonts w:ascii="Arial"/>
          <w:color w:val="000000"/>
          <w:sz w:val="24"/>
        </w:rPr>
        <w:t>vehicles can enter and exit the site</w:t>
      </w:r>
      <w:r>
        <w:rPr>
          <w:rFonts w:ascii="Arial"/>
          <w:color w:val="000000"/>
          <w:sz w:val="24"/>
        </w:rPr>
        <w:t>.</w:t>
      </w:r>
    </w:p>
    <w:p>
      <w:pPr>
        <w:pStyle w:val="CaselawNumbered1"/>
        <w:numPr>
          <w:ilvl w:val="0"/>
          <w:numId w:val="40"/>
        </w:numPr>
        <w:spacing w:before="150" w:after="0"/>
        <w:ind w:left="1350" w:hanging="750"/>
      </w:pPr>
      <w:r>
        <w:rPr>
          <w:rFonts w:ascii="Arial"/>
          <w:color w:val="000000"/>
          <w:sz w:val="24"/>
        </w:rPr>
        <w:t>In considering</w:t>
      </w:r>
      <w:r>
        <w:rPr>
          <w:rFonts w:ascii="Arial"/>
          <w:color w:val="000000"/>
          <w:sz w:val="24"/>
        </w:rPr>
        <w:t> whether the development detrimentally impacts on view corridors</w:t>
      </w:r>
      <w:r>
        <w:rPr>
          <w:rFonts w:ascii="Arial"/>
          <w:color w:val="000000"/>
          <w:sz w:val="24"/>
        </w:rPr>
        <w:t xml:space="preserve"> </w:t>
      </w:r>
      <w:r>
        <w:rPr>
          <w:rFonts w:ascii="Arial"/>
          <w:color w:val="000000"/>
          <w:sz w:val="24"/>
        </w:rPr>
        <w:t>(</w:t>
      </w:r>
      <w:r>
        <w:rPr>
          <w:rFonts w:ascii="Arial"/>
          <w:color w:val="000000"/>
          <w:sz w:val="24"/>
        </w:rPr>
        <w:t>subcl</w:t>
      </w:r>
      <w:r>
        <w:rPr>
          <w:rFonts w:ascii="Arial"/>
          <w:color w:val="000000"/>
          <w:sz w:val="24"/>
        </w:rPr>
        <w:t xml:space="preserve"> </w:t>
      </w:r>
      <w:r>
        <w:rPr>
          <w:rFonts w:ascii="Arial"/>
          <w:color w:val="000000"/>
          <w:sz w:val="24"/>
        </w:rPr>
        <w:t>(3)(c))</w:t>
      </w:r>
      <w:r>
        <w:rPr>
          <w:rFonts w:ascii="Arial"/>
          <w:color w:val="000000"/>
          <w:sz w:val="24"/>
        </w:rPr>
        <w:t>,</w:t>
      </w:r>
      <w:r>
        <w:rPr>
          <w:rFonts w:ascii="Arial"/>
          <w:color w:val="000000"/>
          <w:sz w:val="24"/>
        </w:rPr>
        <w:t xml:space="preserve"> </w:t>
      </w:r>
      <w:r>
        <w:rPr>
          <w:rFonts w:ascii="Arial"/>
          <w:color w:val="000000"/>
          <w:sz w:val="24"/>
        </w:rPr>
        <w:t xml:space="preserve">I </w:t>
      </w:r>
      <w:r>
        <w:rPr>
          <w:rFonts w:ascii="Arial"/>
          <w:color w:val="000000"/>
          <w:sz w:val="24"/>
        </w:rPr>
        <w:t xml:space="preserve">note the </w:t>
      </w:r>
      <w:r>
        <w:rPr>
          <w:rFonts w:ascii="Arial"/>
          <w:color w:val="000000"/>
          <w:sz w:val="24"/>
        </w:rPr>
        <w:t>objection of the resident of 4</w:t>
      </w:r>
      <w:r>
        <w:rPr>
          <w:rFonts w:ascii="Arial"/>
          <w:color w:val="000000"/>
          <w:sz w:val="24"/>
        </w:rPr>
        <w:t>2-44</w:t>
      </w:r>
      <w:r>
        <w:rPr>
          <w:rFonts w:ascii="Arial"/>
          <w:color w:val="000000"/>
          <w:sz w:val="24"/>
        </w:rPr>
        <w:t xml:space="preserve"> </w:t>
      </w:r>
      <w:r>
        <w:rPr>
          <w:rFonts w:ascii="Arial"/>
          <w:color w:val="000000"/>
          <w:sz w:val="24"/>
        </w:rPr>
        <w:t>Thomson Street</w:t>
      </w:r>
      <w:r>
        <w:rPr>
          <w:rFonts w:ascii="Arial"/>
          <w:color w:val="000000"/>
          <w:sz w:val="24"/>
        </w:rPr>
        <w:t xml:space="preserve"> </w:t>
      </w:r>
      <w:r>
        <w:rPr>
          <w:rFonts w:ascii="Arial"/>
          <w:color w:val="000000"/>
          <w:sz w:val="24"/>
        </w:rPr>
        <w:t>to the view assessment prepared by in support of the development application</w:t>
      </w:r>
      <w:r>
        <w:rPr>
          <w:rFonts w:ascii="Arial"/>
          <w:color w:val="000000"/>
          <w:sz w:val="24"/>
        </w:rPr>
        <w:t xml:space="preserve"> </w:t>
      </w:r>
      <w:r>
        <w:rPr>
          <w:rFonts w:ascii="Arial"/>
          <w:color w:val="000000"/>
          <w:sz w:val="24"/>
        </w:rPr>
        <w:t>by Dr Richard Lamb</w:t>
      </w:r>
      <w:r>
        <w:rPr>
          <w:rFonts w:ascii="Arial"/>
          <w:color w:val="000000"/>
          <w:sz w:val="24"/>
        </w:rPr>
        <w:t xml:space="preserve"> </w:t>
      </w:r>
      <w:r>
        <w:rPr>
          <w:rFonts w:ascii="Arial"/>
          <w:color w:val="000000"/>
          <w:sz w:val="24"/>
        </w:rPr>
        <w:t>dated 19 July 2022</w:t>
      </w:r>
      <w:r>
        <w:rPr>
          <w:rFonts w:ascii="Arial"/>
          <w:color w:val="000000"/>
          <w:sz w:val="24"/>
        </w:rPr>
        <w:t xml:space="preserve"> </w:t>
      </w:r>
      <w:r>
        <w:rPr>
          <w:rFonts w:ascii="Arial"/>
          <w:color w:val="000000"/>
          <w:sz w:val="24"/>
        </w:rPr>
        <w:t>(Exhibit O)</w:t>
      </w:r>
      <w:r>
        <w:rPr>
          <w:rFonts w:ascii="Arial"/>
          <w:color w:val="000000"/>
          <w:sz w:val="24"/>
        </w:rPr>
        <w:t xml:space="preserve"> </w:t>
      </w:r>
      <w:r>
        <w:rPr>
          <w:rFonts w:ascii="Arial"/>
          <w:color w:val="000000"/>
          <w:sz w:val="24"/>
        </w:rPr>
        <w:t>(View Assessment)</w:t>
      </w:r>
      <w:r>
        <w:rPr>
          <w:rFonts w:ascii="Arial"/>
          <w:color w:val="000000"/>
          <w:sz w:val="24"/>
        </w:rPr>
        <w:t>.</w:t>
      </w:r>
    </w:p>
    <w:p>
      <w:pPr>
        <w:pStyle w:val="CaselawNumbered1"/>
        <w:numPr>
          <w:ilvl w:val="0"/>
          <w:numId w:val="40"/>
        </w:numPr>
        <w:spacing w:before="150" w:after="0"/>
        <w:ind w:left="1350" w:hanging="750"/>
      </w:pPr>
      <w:r>
        <w:rPr>
          <w:rFonts w:ascii="Arial"/>
          <w:color w:val="000000"/>
          <w:sz w:val="24"/>
        </w:rPr>
        <w:t xml:space="preserve">In the View Assessment, </w:t>
      </w:r>
      <w:r>
        <w:rPr>
          <w:rFonts w:ascii="Arial"/>
          <w:color w:val="000000"/>
          <w:sz w:val="24"/>
        </w:rPr>
        <w:t xml:space="preserve">Dr Lamb </w:t>
      </w:r>
      <w:r>
        <w:rPr>
          <w:rFonts w:ascii="Arial"/>
          <w:color w:val="000000"/>
          <w:sz w:val="24"/>
        </w:rPr>
        <w:t xml:space="preserve">acknowledges that while there is a </w:t>
      </w:r>
      <w:r>
        <w:rPr>
          <w:rFonts w:ascii="Arial"/>
          <w:color w:val="000000"/>
          <w:sz w:val="24"/>
        </w:rPr>
        <w:t xml:space="preserve">substantial gap between the 2 towers of the proposed development, </w:t>
      </w:r>
      <w:r>
        <w:rPr>
          <w:rFonts w:ascii="Arial"/>
          <w:color w:val="000000"/>
          <w:sz w:val="24"/>
        </w:rPr>
        <w:t xml:space="preserve">the </w:t>
      </w:r>
      <w:r>
        <w:rPr>
          <w:rFonts w:ascii="Arial"/>
          <w:color w:val="000000"/>
          <w:sz w:val="24"/>
        </w:rPr>
        <w:t xml:space="preserve">orientation of 42-44 Thomson Street relative to the view, is such that </w:t>
      </w:r>
      <w:r>
        <w:rPr>
          <w:rFonts w:ascii="Arial"/>
          <w:color w:val="000000"/>
          <w:sz w:val="24"/>
        </w:rPr>
        <w:t>“</w:t>
      </w:r>
      <w:r>
        <w:rPr>
          <w:rFonts w:ascii="Arial"/>
          <w:color w:val="000000"/>
          <w:sz w:val="24"/>
        </w:rPr>
        <w:t>there would not be a substantial view corridor retained between the proposed towers</w:t>
      </w:r>
      <w:r>
        <w:rPr>
          <w:rFonts w:ascii="Arial"/>
          <w:color w:val="000000"/>
          <w:sz w:val="24"/>
        </w:rPr>
        <w:t xml:space="preserve">” </w:t>
      </w:r>
      <w:r>
        <w:rPr>
          <w:rFonts w:ascii="Arial"/>
          <w:color w:val="000000"/>
          <w:sz w:val="24"/>
        </w:rPr>
        <w:t>(par 60).</w:t>
      </w:r>
    </w:p>
    <w:p>
      <w:pPr>
        <w:pStyle w:val="CaselawNumbered1"/>
        <w:numPr>
          <w:ilvl w:val="0"/>
          <w:numId w:val="40"/>
        </w:numPr>
        <w:spacing w:before="150" w:after="0"/>
        <w:ind w:left="1350" w:hanging="750"/>
      </w:pPr>
      <w:r>
        <w:rPr>
          <w:rFonts w:ascii="Arial"/>
          <w:color w:val="000000"/>
          <w:sz w:val="24"/>
        </w:rPr>
        <w:t>Furthermore, Dr Lamb summarises the extent of views</w:t>
      </w:r>
      <w:r>
        <w:rPr>
          <w:rFonts w:ascii="Arial"/>
          <w:color w:val="000000"/>
          <w:sz w:val="24"/>
        </w:rPr>
        <w:t xml:space="preserve"> </w:t>
      </w:r>
      <w:r>
        <w:rPr>
          <w:rFonts w:ascii="Arial"/>
          <w:color w:val="000000"/>
          <w:sz w:val="24"/>
        </w:rPr>
        <w:t>currently enjoyed</w:t>
      </w:r>
      <w:r>
        <w:rPr>
          <w:rFonts w:ascii="Arial"/>
          <w:color w:val="000000"/>
          <w:sz w:val="24"/>
        </w:rPr>
        <w:t xml:space="preserve"> </w:t>
      </w:r>
      <w:r>
        <w:rPr>
          <w:rFonts w:ascii="Arial"/>
          <w:color w:val="000000"/>
          <w:sz w:val="24"/>
        </w:rPr>
        <w:t xml:space="preserve">from Unit </w:t>
      </w:r>
      <w:r>
        <w:rPr>
          <w:rFonts w:ascii="Arial"/>
          <w:color w:val="000000"/>
          <w:sz w:val="24"/>
        </w:rPr>
        <w:t>11, and</w:t>
      </w:r>
      <w:r>
        <w:rPr>
          <w:rFonts w:ascii="Arial"/>
          <w:color w:val="000000"/>
          <w:sz w:val="24"/>
        </w:rPr>
        <w:t xml:space="preserve"> </w:t>
      </w:r>
      <w:r>
        <w:rPr>
          <w:rFonts w:ascii="Arial"/>
          <w:color w:val="000000"/>
          <w:sz w:val="24"/>
        </w:rPr>
        <w:t xml:space="preserve">concludes that views </w:t>
      </w:r>
      <w:r>
        <w:rPr>
          <w:rFonts w:ascii="Arial"/>
          <w:color w:val="000000"/>
          <w:sz w:val="24"/>
        </w:rPr>
        <w:t>directly north-east to east would be lost (par 64).</w:t>
      </w:r>
      <w:r>
        <w:rPr>
          <w:rFonts w:ascii="Arial"/>
          <w:color w:val="000000"/>
          <w:sz w:val="24"/>
        </w:rPr>
        <w:t xml:space="preserve"> </w:t>
      </w:r>
      <w:r>
        <w:rPr>
          <w:rFonts w:ascii="Arial"/>
          <w:color w:val="000000"/>
          <w:sz w:val="24"/>
        </w:rPr>
        <w:t xml:space="preserve">The view loss is depicted in </w:t>
      </w:r>
      <w:r>
        <w:rPr>
          <w:rFonts w:ascii="Arial"/>
          <w:color w:val="000000"/>
          <w:sz w:val="24"/>
        </w:rPr>
        <w:t>photomontages on p49 of the View Assessment</w:t>
      </w:r>
      <w:r>
        <w:rPr>
          <w:rFonts w:ascii="Arial"/>
          <w:color w:val="000000"/>
          <w:sz w:val="24"/>
        </w:rPr>
        <w:t>.</w:t>
      </w:r>
    </w:p>
    <w:p>
      <w:pPr>
        <w:pStyle w:val="CaselawNumbered1"/>
        <w:numPr>
          <w:ilvl w:val="0"/>
          <w:numId w:val="40"/>
        </w:numPr>
        <w:spacing w:before="150" w:after="0"/>
        <w:ind w:left="1350" w:hanging="750"/>
      </w:pPr>
      <w:r>
        <w:rPr>
          <w:rFonts w:ascii="Arial"/>
          <w:color w:val="000000"/>
          <w:sz w:val="24"/>
        </w:rPr>
        <w:t xml:space="preserve">I accept </w:t>
      </w:r>
      <w:r>
        <w:rPr>
          <w:rFonts w:ascii="Arial"/>
          <w:color w:val="000000"/>
          <w:sz w:val="24"/>
        </w:rPr>
        <w:t xml:space="preserve">that </w:t>
      </w:r>
      <w:r>
        <w:rPr>
          <w:rFonts w:ascii="Arial"/>
          <w:color w:val="000000"/>
          <w:sz w:val="24"/>
        </w:rPr>
        <w:t xml:space="preserve">the </w:t>
      </w:r>
      <w:r>
        <w:rPr>
          <w:rFonts w:ascii="Arial"/>
          <w:color w:val="000000"/>
          <w:sz w:val="24"/>
        </w:rPr>
        <w:t xml:space="preserve">views </w:t>
      </w:r>
      <w:r>
        <w:rPr>
          <w:rFonts w:ascii="Arial"/>
          <w:color w:val="000000"/>
          <w:sz w:val="24"/>
        </w:rPr>
        <w:t>north east</w:t>
      </w:r>
      <w:r>
        <w:rPr>
          <w:rFonts w:ascii="Arial"/>
          <w:color w:val="000000"/>
          <w:sz w:val="24"/>
        </w:rPr>
        <w:t xml:space="preserve"> </w:t>
      </w:r>
      <w:r>
        <w:rPr>
          <w:rFonts w:ascii="Arial"/>
          <w:color w:val="000000"/>
          <w:sz w:val="24"/>
        </w:rPr>
        <w:t xml:space="preserve">to the horizon formed by the ocean </w:t>
      </w:r>
      <w:r>
        <w:rPr>
          <w:rFonts w:ascii="Arial"/>
          <w:color w:val="000000"/>
          <w:sz w:val="24"/>
        </w:rPr>
        <w:t>are</w:t>
      </w:r>
      <w:r>
        <w:rPr>
          <w:rFonts w:ascii="Arial"/>
          <w:color w:val="000000"/>
          <w:sz w:val="24"/>
        </w:rPr>
        <w:t xml:space="preserve"> </w:t>
      </w:r>
      <w:r>
        <w:rPr>
          <w:rFonts w:ascii="Arial"/>
          <w:color w:val="000000"/>
          <w:sz w:val="24"/>
        </w:rPr>
        <w:t xml:space="preserve">of high value to the residents of Unit 11, </w:t>
      </w:r>
      <w:r>
        <w:rPr>
          <w:rFonts w:ascii="Arial"/>
          <w:color w:val="000000"/>
          <w:sz w:val="24"/>
        </w:rPr>
        <w:t xml:space="preserve">and similarly to other units in 42-44 Thomson Street. </w:t>
      </w:r>
      <w:r>
        <w:rPr>
          <w:rFonts w:ascii="Arial"/>
          <w:color w:val="000000"/>
          <w:sz w:val="24"/>
        </w:rPr>
        <w:t xml:space="preserve"> </w:t>
      </w:r>
    </w:p>
    <w:p>
      <w:pPr>
        <w:pStyle w:val="CaselawNumbered1"/>
        <w:numPr>
          <w:ilvl w:val="0"/>
          <w:numId w:val="40"/>
        </w:numPr>
        <w:spacing w:before="150" w:after="0"/>
        <w:ind w:left="1350" w:hanging="750"/>
      </w:pPr>
      <w:r>
        <w:rPr>
          <w:rFonts w:ascii="Arial"/>
          <w:color w:val="000000"/>
          <w:sz w:val="24"/>
        </w:rPr>
        <w:t xml:space="preserve">I </w:t>
      </w:r>
      <w:r>
        <w:rPr>
          <w:rFonts w:ascii="Arial"/>
          <w:color w:val="000000"/>
          <w:sz w:val="24"/>
        </w:rPr>
        <w:t>am</w:t>
      </w:r>
      <w:r>
        <w:rPr>
          <w:rFonts w:ascii="Arial"/>
          <w:color w:val="000000"/>
          <w:sz w:val="24"/>
        </w:rPr>
        <w:t xml:space="preserve"> </w:t>
      </w:r>
      <w:r>
        <w:rPr>
          <w:rFonts w:ascii="Arial"/>
          <w:color w:val="000000"/>
          <w:sz w:val="24"/>
        </w:rPr>
        <w:t>also</w:t>
      </w:r>
      <w:r>
        <w:rPr>
          <w:rFonts w:ascii="Arial"/>
          <w:color w:val="000000"/>
          <w:sz w:val="24"/>
        </w:rPr>
        <w:t xml:space="preserve"> </w:t>
      </w:r>
      <w:r>
        <w:rPr>
          <w:rFonts w:ascii="Arial"/>
          <w:color w:val="000000"/>
          <w:sz w:val="24"/>
        </w:rPr>
        <w:t xml:space="preserve">assisted by the agreement of the town planning, urban </w:t>
      </w:r>
      <w:r>
        <w:rPr>
          <w:rFonts w:ascii="Arial"/>
          <w:color w:val="000000"/>
          <w:sz w:val="24"/>
        </w:rPr>
        <w:t>design</w:t>
      </w:r>
      <w:r>
        <w:rPr>
          <w:rFonts w:ascii="Arial"/>
          <w:color w:val="000000"/>
          <w:sz w:val="24"/>
        </w:rPr>
        <w:t xml:space="preserve"> </w:t>
      </w:r>
      <w:r>
        <w:rPr>
          <w:rFonts w:ascii="Arial"/>
          <w:color w:val="000000"/>
          <w:sz w:val="24"/>
        </w:rPr>
        <w:t>and view experts, at pp3-4 of the joint expert report, expressed as follows:</w:t>
      </w:r>
    </w:p>
    <w:p>
      <w:pPr>
        <w:pStyle w:val="CaselawQuote"/>
        <w:spacing w:before="150" w:after="150"/>
        <w:ind w:left="1350"/>
        <w:jc w:val="left"/>
      </w:pPr>
      <w:r>
        <w:rPr>
          <w:rFonts w:ascii="Arial"/>
          <w:color w:val="000000"/>
          <w:sz w:val="22"/>
        </w:rPr>
        <w:t xml:space="preserve">“The experts agreed the View Sharing Report prepared by Richard Lamb and Associates satisfactorily demonstrates the view impacts on public domain views and view sharing with private dwellings are acceptable, and as such this contention has been resolved and is no longer pressed. This conclusion has been reached with consideration of the principles set out in Tenacity. In essence, whilst the proposal will result in varying degrees of view loss, the degree of view loss is a product of development undertaken in accordance with the planning controls. The “two tower” scheme now before the Court has benefits in terms of protecting additional views from some properties compared with a single tower scheme. While it may be that a scheme that took advantage of “bonus height” provisions may result in reduced tower footprints and further view benefits that is not the application before the Court. The tower footprints proposed are acceptable </w:t>
      </w:r>
      <w:r>
        <w:rPr>
          <w:rFonts w:ascii="Arial"/>
          <w:color w:val="000000"/>
          <w:sz w:val="22"/>
        </w:rPr>
        <w:t>in light of</w:t>
      </w:r>
      <w:r>
        <w:rPr>
          <w:rFonts w:ascii="Arial"/>
          <w:color w:val="000000"/>
          <w:sz w:val="22"/>
        </w:rPr>
        <w:t xml:space="preserve"> the LEP and DCP controls and the ADG and it is agreed that there is not a more skilful design available that would achieve the same amenity for the development. The impacts are </w:t>
      </w:r>
      <w:r>
        <w:rPr>
          <w:rFonts w:ascii="Arial"/>
          <w:color w:val="000000"/>
          <w:sz w:val="22"/>
        </w:rPr>
        <w:t>acceptable</w:t>
      </w:r>
      <w:r>
        <w:rPr>
          <w:rFonts w:ascii="Arial"/>
          <w:color w:val="000000"/>
          <w:sz w:val="22"/>
        </w:rPr>
        <w:t xml:space="preserve"> and all experts agree with the methodology and conclusions set out in Dr Lamb’s report.”</w:t>
      </w:r>
    </w:p>
    <w:p>
      <w:pPr>
        <w:pStyle w:val="CaselawNumbered1"/>
        <w:numPr>
          <w:ilvl w:val="0"/>
          <w:numId w:val="41"/>
        </w:numPr>
        <w:spacing w:before="150" w:after="0"/>
        <w:ind w:left="1350" w:hanging="750"/>
      </w:pPr>
      <w:r>
        <w:rPr>
          <w:rFonts w:ascii="Arial"/>
          <w:color w:val="000000"/>
          <w:sz w:val="24"/>
        </w:rPr>
        <w:t>I a</w:t>
      </w:r>
      <w:r>
        <w:rPr>
          <w:rFonts w:ascii="Arial"/>
          <w:color w:val="000000"/>
          <w:sz w:val="24"/>
        </w:rPr>
        <w:t xml:space="preserve">gree that the view loss results from a building that conforms to the </w:t>
      </w:r>
      <w:r>
        <w:rPr>
          <w:rFonts w:ascii="Arial"/>
          <w:color w:val="000000"/>
          <w:sz w:val="24"/>
        </w:rPr>
        <w:t>relevant planning controls</w:t>
      </w:r>
      <w:r>
        <w:rPr>
          <w:rFonts w:ascii="Arial"/>
          <w:color w:val="000000"/>
          <w:sz w:val="24"/>
        </w:rPr>
        <w:t xml:space="preserve">, and </w:t>
      </w:r>
      <w:r>
        <w:rPr>
          <w:rFonts w:ascii="Arial"/>
          <w:color w:val="000000"/>
          <w:sz w:val="24"/>
        </w:rPr>
        <w:t>in the case of height</w:t>
      </w:r>
      <w:r>
        <w:rPr>
          <w:rFonts w:ascii="Arial"/>
          <w:color w:val="000000"/>
          <w:sz w:val="24"/>
        </w:rPr>
        <w:t xml:space="preserve">, substantially below the </w:t>
      </w:r>
      <w:r>
        <w:rPr>
          <w:rFonts w:ascii="Arial"/>
          <w:color w:val="000000"/>
          <w:sz w:val="24"/>
        </w:rPr>
        <w:t xml:space="preserve">maximum </w:t>
      </w:r>
      <w:r>
        <w:rPr>
          <w:rFonts w:ascii="Arial"/>
          <w:color w:val="000000"/>
          <w:sz w:val="24"/>
        </w:rPr>
        <w:t xml:space="preserve">height </w:t>
      </w:r>
      <w:r>
        <w:rPr>
          <w:rFonts w:ascii="Arial"/>
          <w:color w:val="000000"/>
          <w:sz w:val="24"/>
        </w:rPr>
        <w:t>of 49.5m</w:t>
      </w:r>
      <w:r>
        <w:rPr>
          <w:rFonts w:ascii="Arial"/>
          <w:color w:val="000000"/>
          <w:sz w:val="24"/>
        </w:rPr>
        <w:t xml:space="preserve">. </w:t>
      </w:r>
    </w:p>
    <w:p>
      <w:pPr>
        <w:pStyle w:val="CaselawNumbered1"/>
        <w:numPr>
          <w:ilvl w:val="0"/>
          <w:numId w:val="41"/>
        </w:numPr>
        <w:spacing w:before="150" w:after="0"/>
        <w:ind w:left="1350" w:hanging="750"/>
      </w:pPr>
      <w:r>
        <w:rPr>
          <w:rFonts w:ascii="Arial"/>
          <w:color w:val="000000"/>
          <w:sz w:val="24"/>
        </w:rPr>
        <w:t xml:space="preserve">I am also assisted by the illustration of </w:t>
      </w:r>
      <w:r>
        <w:rPr>
          <w:rFonts w:ascii="Arial"/>
          <w:color w:val="000000"/>
          <w:sz w:val="24"/>
        </w:rPr>
        <w:t xml:space="preserve">four strategies titled </w:t>
      </w:r>
      <w:r>
        <w:rPr>
          <w:rFonts w:ascii="Arial"/>
          <w:color w:val="000000"/>
          <w:sz w:val="24"/>
        </w:rPr>
        <w:t>‘</w:t>
      </w:r>
      <w:r>
        <w:rPr>
          <w:rFonts w:ascii="Arial"/>
          <w:color w:val="000000"/>
          <w:sz w:val="24"/>
        </w:rPr>
        <w:t>site utilisation options</w:t>
      </w:r>
      <w:r>
        <w:rPr>
          <w:rFonts w:ascii="Arial"/>
          <w:color w:val="000000"/>
          <w:sz w:val="24"/>
        </w:rPr>
        <w:t>’</w:t>
      </w:r>
      <w:r>
        <w:rPr>
          <w:rFonts w:ascii="Arial"/>
          <w:color w:val="000000"/>
          <w:sz w:val="24"/>
        </w:rPr>
        <w:t xml:space="preserve">, contained in the architectural plans </w:t>
      </w:r>
      <w:r>
        <w:rPr>
          <w:rFonts w:ascii="Arial"/>
          <w:color w:val="000000"/>
          <w:sz w:val="24"/>
        </w:rPr>
        <w:t xml:space="preserve">A012-A015 inclusive which </w:t>
      </w:r>
      <w:r>
        <w:rPr>
          <w:rFonts w:ascii="Arial"/>
          <w:color w:val="000000"/>
          <w:sz w:val="24"/>
        </w:rPr>
        <w:t xml:space="preserve">support the conclusions of the experts, to the effect that </w:t>
      </w:r>
      <w:r>
        <w:rPr>
          <w:rFonts w:ascii="Arial"/>
          <w:color w:val="000000"/>
          <w:sz w:val="24"/>
        </w:rPr>
        <w:t xml:space="preserve">a </w:t>
      </w:r>
      <w:r>
        <w:rPr>
          <w:rFonts w:ascii="Arial"/>
          <w:color w:val="000000"/>
          <w:sz w:val="24"/>
        </w:rPr>
        <w:t>‘</w:t>
      </w:r>
      <w:r>
        <w:rPr>
          <w:rFonts w:ascii="Arial"/>
          <w:color w:val="000000"/>
          <w:sz w:val="24"/>
        </w:rPr>
        <w:t>two tower</w:t>
      </w:r>
      <w:r>
        <w:rPr>
          <w:rFonts w:ascii="Arial"/>
          <w:color w:val="000000"/>
          <w:sz w:val="24"/>
        </w:rPr>
        <w:t xml:space="preserve">’ </w:t>
      </w:r>
      <w:r>
        <w:rPr>
          <w:rFonts w:ascii="Arial"/>
          <w:color w:val="000000"/>
          <w:sz w:val="24"/>
        </w:rPr>
        <w:t>schem</w:t>
      </w:r>
      <w:r>
        <w:rPr>
          <w:rFonts w:ascii="Arial"/>
          <w:color w:val="000000"/>
          <w:sz w:val="24"/>
        </w:rPr>
        <w:t xml:space="preserve">e </w:t>
      </w:r>
      <w:r>
        <w:rPr>
          <w:rFonts w:ascii="Arial"/>
          <w:color w:val="000000"/>
          <w:sz w:val="24"/>
        </w:rPr>
        <w:t xml:space="preserve">has benefits in terms of view </w:t>
      </w:r>
      <w:r>
        <w:rPr>
          <w:rFonts w:ascii="Arial"/>
          <w:color w:val="000000"/>
          <w:sz w:val="24"/>
        </w:rPr>
        <w:t>sharing</w:t>
      </w:r>
      <w:r>
        <w:rPr>
          <w:rFonts w:ascii="Arial"/>
          <w:color w:val="000000"/>
          <w:sz w:val="24"/>
        </w:rPr>
        <w:t xml:space="preserve"> </w:t>
      </w:r>
      <w:r>
        <w:rPr>
          <w:rFonts w:ascii="Arial"/>
          <w:color w:val="000000"/>
          <w:sz w:val="24"/>
        </w:rPr>
        <w:t xml:space="preserve">from certain properties on Thomson Street. </w:t>
      </w:r>
    </w:p>
    <w:p>
      <w:pPr>
        <w:pStyle w:val="CaselawNumbered1"/>
        <w:numPr>
          <w:ilvl w:val="0"/>
          <w:numId w:val="41"/>
        </w:numPr>
        <w:spacing w:before="150" w:after="0"/>
        <w:ind w:left="1350" w:hanging="750"/>
      </w:pPr>
      <w:r>
        <w:rPr>
          <w:rFonts w:ascii="Arial"/>
          <w:color w:val="000000"/>
          <w:sz w:val="24"/>
        </w:rPr>
        <w:t>There is no doubt that the views from 42-44 Thomson Street are impacted by the proposed development</w:t>
      </w:r>
      <w:r>
        <w:rPr>
          <w:rFonts w:ascii="Arial"/>
          <w:color w:val="000000"/>
          <w:sz w:val="24"/>
        </w:rPr>
        <w:t>. H</w:t>
      </w:r>
      <w:r>
        <w:rPr>
          <w:rFonts w:ascii="Arial"/>
          <w:color w:val="000000"/>
          <w:sz w:val="24"/>
        </w:rPr>
        <w:t>owever</w:t>
      </w:r>
      <w:r>
        <w:rPr>
          <w:rFonts w:ascii="Arial"/>
          <w:color w:val="000000"/>
          <w:sz w:val="24"/>
        </w:rPr>
        <w:t>,</w:t>
      </w:r>
      <w:r>
        <w:rPr>
          <w:rFonts w:ascii="Arial"/>
          <w:color w:val="000000"/>
          <w:sz w:val="24"/>
        </w:rPr>
        <w:t xml:space="preserve"> </w:t>
      </w:r>
      <w:r>
        <w:rPr>
          <w:rFonts w:ascii="Arial"/>
          <w:color w:val="000000"/>
          <w:sz w:val="24"/>
        </w:rPr>
        <w:t xml:space="preserve">I have formed an </w:t>
      </w:r>
      <w:r>
        <w:rPr>
          <w:rFonts w:ascii="Arial"/>
          <w:color w:val="000000"/>
          <w:sz w:val="24"/>
        </w:rPr>
        <w:t>opinion</w:t>
      </w:r>
      <w:r>
        <w:rPr>
          <w:rFonts w:ascii="Arial"/>
          <w:color w:val="000000"/>
          <w:sz w:val="24"/>
        </w:rPr>
        <w:t xml:space="preserve"> </w:t>
      </w:r>
      <w:r>
        <w:rPr>
          <w:rFonts w:ascii="Arial"/>
          <w:color w:val="000000"/>
          <w:sz w:val="24"/>
        </w:rPr>
        <w:t xml:space="preserve">the </w:t>
      </w:r>
      <w:r>
        <w:rPr>
          <w:rFonts w:ascii="Arial"/>
          <w:color w:val="000000"/>
          <w:sz w:val="24"/>
        </w:rPr>
        <w:t xml:space="preserve">development takes steps to </w:t>
      </w:r>
      <w:r>
        <w:rPr>
          <w:rFonts w:ascii="Arial"/>
          <w:color w:val="000000"/>
          <w:sz w:val="24"/>
        </w:rPr>
        <w:t>limit the</w:t>
      </w:r>
      <w:r>
        <w:rPr>
          <w:rFonts w:ascii="Arial"/>
          <w:color w:val="000000"/>
          <w:sz w:val="24"/>
        </w:rPr>
        <w:t xml:space="preserve"> </w:t>
      </w:r>
      <w:r>
        <w:rPr>
          <w:rFonts w:ascii="Arial"/>
          <w:color w:val="000000"/>
          <w:sz w:val="24"/>
        </w:rPr>
        <w:t xml:space="preserve">impact </w:t>
      </w:r>
      <w:r>
        <w:rPr>
          <w:rFonts w:ascii="Arial"/>
          <w:color w:val="000000"/>
          <w:sz w:val="24"/>
        </w:rPr>
        <w:t xml:space="preserve">it has </w:t>
      </w:r>
      <w:r>
        <w:rPr>
          <w:rFonts w:ascii="Arial"/>
          <w:color w:val="000000"/>
          <w:sz w:val="24"/>
        </w:rPr>
        <w:t xml:space="preserve">on </w:t>
      </w:r>
      <w:r>
        <w:rPr>
          <w:rFonts w:ascii="Arial"/>
          <w:color w:val="000000"/>
          <w:sz w:val="24"/>
        </w:rPr>
        <w:t xml:space="preserve">the </w:t>
      </w:r>
      <w:r>
        <w:rPr>
          <w:rFonts w:ascii="Arial"/>
          <w:color w:val="000000"/>
          <w:sz w:val="24"/>
        </w:rPr>
        <w:t>view</w:t>
      </w:r>
      <w:r>
        <w:rPr>
          <w:rFonts w:ascii="Arial"/>
          <w:color w:val="000000"/>
          <w:sz w:val="24"/>
        </w:rPr>
        <w:t>s</w:t>
      </w:r>
      <w:r>
        <w:rPr>
          <w:rFonts w:ascii="Arial"/>
          <w:color w:val="000000"/>
          <w:sz w:val="24"/>
        </w:rPr>
        <w:t xml:space="preserve"> </w:t>
      </w:r>
      <w:r>
        <w:rPr>
          <w:rFonts w:ascii="Arial"/>
          <w:color w:val="000000"/>
          <w:sz w:val="24"/>
        </w:rPr>
        <w:t>from</w:t>
      </w:r>
      <w:r>
        <w:rPr>
          <w:rFonts w:ascii="Arial"/>
          <w:color w:val="000000"/>
          <w:sz w:val="24"/>
        </w:rPr>
        <w:t xml:space="preserve"> </w:t>
      </w:r>
      <w:r>
        <w:rPr>
          <w:rFonts w:ascii="Arial"/>
          <w:color w:val="000000"/>
          <w:sz w:val="24"/>
        </w:rPr>
        <w:t xml:space="preserve">Thomson Street </w:t>
      </w:r>
      <w:r>
        <w:rPr>
          <w:rFonts w:ascii="Arial"/>
          <w:color w:val="000000"/>
          <w:sz w:val="24"/>
        </w:rPr>
        <w:t>to the ocean beyond.</w:t>
      </w:r>
      <w:r>
        <w:rPr>
          <w:rFonts w:ascii="Arial"/>
          <w:color w:val="000000"/>
          <w:sz w:val="24"/>
        </w:rPr>
        <w:t xml:space="preserve"> </w:t>
      </w:r>
    </w:p>
    <w:p>
      <w:pPr>
        <w:pStyle w:val="CaselawNumbered10"/>
        <w:numPr>
          <w:ilvl w:val="0"/>
          <w:numId w:val="42"/>
        </w:numPr>
        <w:spacing w:before="150" w:after="0"/>
        <w:ind w:left="600" w:hanging="600"/>
      </w:pPr>
      <w:r>
        <w:rPr>
          <w:rFonts w:ascii="Arial"/>
          <w:color w:val="000000"/>
          <w:sz w:val="24"/>
        </w:rPr>
        <w:t>Accordingly, for the reasons set out above at [</w:t>
      </w:r>
      <w:hyperlink r:id="rId23">
        <w:r>
          <w:rPr>
            <w:rFonts w:ascii="Arial"/>
            <w:color w:val="000000"/>
            <w:sz w:val="24"/>
            <w:u w:val="single"/>
          </w:rPr>
          <w:t/>
        </w:r>
        <w:r>
          <w:rPr>
            <w:rFonts w:ascii="Arial"/>
            <w:color w:val="000000"/>
            <w:sz w:val="24"/>
          </w:rPr>
          <w:t>38</w:t>
        </w:r>
      </w:hyperlink>
      <w:hyperlink r:id="rId24">
        <w:r>
          <w:rPr>
            <w:rFonts w:ascii="Arial"/>
            <w:color w:val="000000"/>
            <w:sz w:val="24"/>
          </w:rPr>
          <w:t/>
        </w:r>
      </w:hyperlink>
      <w:r>
        <w:rPr>
          <w:rFonts w:ascii="Arial"/>
          <w:color w:val="000000"/>
          <w:sz w:val="24"/>
        </w:rPr>
        <w:t>]</w:t>
      </w:r>
      <w:r>
        <w:rPr>
          <w:rFonts w:ascii="Arial"/>
          <w:color w:val="000000"/>
          <w:sz w:val="24"/>
        </w:rPr>
        <w:t>-[</w:t>
      </w:r>
      <w:hyperlink r:id="rId25">
        <w:r>
          <w:rPr>
            <w:rFonts w:ascii="Arial"/>
            <w:color w:val="000000"/>
            <w:sz w:val="24"/>
            <w:u w:val="single"/>
          </w:rPr>
          <w:t/>
        </w:r>
        <w:r>
          <w:rPr>
            <w:rFonts w:ascii="Arial"/>
            <w:color w:val="000000"/>
            <w:sz w:val="24"/>
          </w:rPr>
          <w:t>41(24)</w:t>
        </w:r>
      </w:hyperlink>
      <w:hyperlink r:id="rId26">
        <w:r>
          <w:rPr>
            <w:rFonts w:ascii="Arial"/>
            <w:color w:val="000000"/>
            <w:sz w:val="24"/>
          </w:rPr>
          <w:t/>
        </w:r>
      </w:hyperlink>
      <w:r>
        <w:rPr>
          <w:rFonts w:ascii="Arial"/>
          <w:color w:val="000000"/>
          <w:sz w:val="24"/>
        </w:rPr>
        <w:t xml:space="preserve">], I consider the proposed development </w:t>
      </w:r>
      <w:r>
        <w:rPr>
          <w:rFonts w:ascii="Arial"/>
          <w:color w:val="000000"/>
          <w:sz w:val="24"/>
        </w:rPr>
        <w:t>exhibits design excellence.</w:t>
      </w:r>
    </w:p>
    <w:p>
      <w:pPr>
        <w:pStyle w:val="CaselawHeading2"/>
        <w:keepNext/>
        <w:spacing w:before="150" w:after="150" w:line="264"/>
        <w:ind w:left="0"/>
        <w:jc w:val="left"/>
      </w:pPr>
      <w:r>
        <w:rPr>
          <w:rFonts w:ascii="Arial"/>
        </w:rPr>
        <w:t>State environmental planning policy No 65 – Design quality of residential apartment development (SEPP65)</w:t>
      </w:r>
    </w:p>
    <w:p>
      <w:pPr>
        <w:pStyle w:val="CaselawNumbered10"/>
        <w:numPr>
          <w:ilvl w:val="0"/>
          <w:numId w:val="43"/>
        </w:numPr>
        <w:spacing w:before="150" w:after="0"/>
        <w:ind w:left="600" w:hanging="600"/>
      </w:pPr>
      <w:r>
        <w:rPr>
          <w:rFonts w:ascii="Arial"/>
          <w:color w:val="000000"/>
          <w:sz w:val="24"/>
        </w:rPr>
        <w:t xml:space="preserve">As the proposal is for residential apartment development, the provisions of SEPP 65 apply. </w:t>
      </w:r>
    </w:p>
    <w:p>
      <w:pPr>
        <w:pStyle w:val="CaselawNumbered10"/>
        <w:numPr>
          <w:ilvl w:val="0"/>
          <w:numId w:val="43"/>
        </w:numPr>
        <w:spacing w:before="150" w:after="0"/>
        <w:ind w:left="600" w:hanging="600"/>
      </w:pPr>
      <w:r>
        <w:rPr>
          <w:rFonts w:ascii="Arial"/>
          <w:color w:val="000000"/>
          <w:sz w:val="24"/>
        </w:rPr>
        <w:t>Clause 28 of SEPP 65 requires a consent authority to take into consideration, in addition to any other matters that are required to be, or may be, taken into consideration, the following:</w:t>
      </w:r>
    </w:p>
    <w:p>
      <w:pPr>
        <w:pStyle w:val="CaselawQuote"/>
        <w:spacing w:before="150" w:after="150"/>
        <w:ind w:left="1350"/>
        <w:jc w:val="left"/>
      </w:pPr>
      <w:r>
        <w:rPr>
          <w:rFonts w:ascii="Arial"/>
          <w:color w:val="000000"/>
          <w:sz w:val="22"/>
        </w:rPr>
        <w:t>(a) the advice (if any) obtained from the design review panel, and</w:t>
      </w:r>
    </w:p>
    <w:p>
      <w:pPr>
        <w:pStyle w:val="CaselawQuote"/>
        <w:spacing w:before="150" w:after="150"/>
        <w:ind w:left="1350"/>
        <w:jc w:val="left"/>
      </w:pPr>
      <w:r>
        <w:rPr>
          <w:rFonts w:ascii="Arial"/>
          <w:color w:val="000000"/>
          <w:sz w:val="22"/>
        </w:rPr>
        <w:t>(b) the design quality of the development when evaluated in accordance with the design quality principles, and</w:t>
      </w:r>
    </w:p>
    <w:p>
      <w:pPr>
        <w:pStyle w:val="CaselawQuote"/>
        <w:spacing w:before="150" w:after="150"/>
        <w:ind w:left="1350"/>
        <w:jc w:val="left"/>
      </w:pPr>
      <w:r>
        <w:rPr>
          <w:rFonts w:ascii="Arial"/>
          <w:color w:val="000000"/>
          <w:sz w:val="22"/>
        </w:rPr>
        <w:t>(c) the Apartment Design Guide.</w:t>
      </w:r>
    </w:p>
    <w:p>
      <w:pPr>
        <w:pStyle w:val="CaselawNumbered10"/>
        <w:numPr>
          <w:ilvl w:val="0"/>
          <w:numId w:val="44"/>
        </w:numPr>
        <w:spacing w:before="150" w:after="0"/>
        <w:ind w:left="600" w:hanging="600"/>
      </w:pPr>
      <w:r>
        <w:rPr>
          <w:rFonts w:ascii="Arial"/>
          <w:color w:val="000000"/>
          <w:sz w:val="24"/>
        </w:rPr>
        <w:t>Where an application relates to residential apartment development, cl 50(1A) of the E</w:t>
      </w:r>
      <w:r>
        <w:rPr>
          <w:rFonts w:ascii="Arial"/>
          <w:color w:val="000000"/>
          <w:sz w:val="24"/>
        </w:rPr>
        <w:t>nvironmental Planning and Assessment</w:t>
      </w:r>
      <w:r>
        <w:rPr>
          <w:rFonts w:ascii="Arial"/>
          <w:color w:val="000000"/>
          <w:sz w:val="24"/>
        </w:rPr>
        <w:t xml:space="preserve"> </w:t>
      </w:r>
      <w:r>
        <w:rPr>
          <w:rFonts w:ascii="Arial"/>
          <w:color w:val="000000"/>
          <w:sz w:val="24"/>
        </w:rPr>
        <w:t>Regulation</w:t>
      </w:r>
      <w:r>
        <w:rPr>
          <w:rFonts w:ascii="Arial"/>
          <w:color w:val="000000"/>
          <w:sz w:val="24"/>
        </w:rPr>
        <w:t xml:space="preserve"> </w:t>
      </w:r>
      <w:r>
        <w:rPr>
          <w:rFonts w:ascii="Arial"/>
          <w:color w:val="000000"/>
          <w:sz w:val="24"/>
        </w:rPr>
        <w:t>2000 (EPA Regulation)</w:t>
      </w:r>
      <w:r>
        <w:rPr>
          <w:rFonts w:ascii="Arial"/>
          <w:color w:val="000000"/>
          <w:sz w:val="24"/>
        </w:rPr>
        <w:t xml:space="preserve"> </w:t>
      </w:r>
      <w:r>
        <w:rPr>
          <w:rFonts w:ascii="Arial"/>
          <w:color w:val="000000"/>
          <w:sz w:val="24"/>
        </w:rPr>
        <w:t>requires a development application to be accompanied by a statement by a qualified designer, defined at cl 3 of the EPA Regulation as a person registered as an architect in accordance with the Architects Act 2003.</w:t>
      </w:r>
    </w:p>
    <w:p>
      <w:pPr>
        <w:pStyle w:val="CaselawNumbered10"/>
        <w:numPr>
          <w:ilvl w:val="0"/>
          <w:numId w:val="44"/>
        </w:numPr>
        <w:spacing w:before="150" w:after="0"/>
        <w:ind w:left="600" w:hanging="600"/>
      </w:pPr>
      <w:r>
        <w:rPr>
          <w:rFonts w:ascii="Arial"/>
          <w:color w:val="000000"/>
          <w:sz w:val="24"/>
        </w:rPr>
        <w:t xml:space="preserve">The statement must conform to the provisions of cl 50(1AB) of the EPA Regulation, which include attestations in relation to cl 28(2)(b) and (c) of SEPP </w:t>
      </w:r>
      <w:r>
        <w:rPr>
          <w:rFonts w:ascii="Arial"/>
          <w:color w:val="000000"/>
          <w:sz w:val="24"/>
        </w:rPr>
        <w:t>65</w:t>
      </w:r>
      <w:r>
        <w:rPr>
          <w:rFonts w:ascii="Arial"/>
          <w:color w:val="000000"/>
          <w:sz w:val="24"/>
        </w:rPr>
        <w:t xml:space="preserve">, </w:t>
      </w:r>
      <w:r>
        <w:rPr>
          <w:rFonts w:ascii="Arial"/>
          <w:color w:val="000000"/>
          <w:sz w:val="24"/>
        </w:rPr>
        <w:t>and</w:t>
      </w:r>
      <w:r>
        <w:rPr>
          <w:rFonts w:ascii="Arial"/>
          <w:color w:val="000000"/>
          <w:sz w:val="24"/>
        </w:rPr>
        <w:t xml:space="preserve"> </w:t>
      </w:r>
      <w:r>
        <w:rPr>
          <w:rFonts w:ascii="Arial"/>
          <w:color w:val="000000"/>
          <w:sz w:val="24"/>
        </w:rPr>
        <w:t>assists the Court</w:t>
      </w:r>
      <w:r>
        <w:rPr>
          <w:rFonts w:ascii="Arial"/>
          <w:color w:val="000000"/>
          <w:sz w:val="24"/>
        </w:rPr>
        <w:t>’</w:t>
      </w:r>
      <w:r>
        <w:rPr>
          <w:rFonts w:ascii="Arial"/>
          <w:color w:val="000000"/>
          <w:sz w:val="24"/>
        </w:rPr>
        <w:t xml:space="preserve">s </w:t>
      </w:r>
      <w:r>
        <w:rPr>
          <w:rFonts w:ascii="Arial"/>
          <w:color w:val="000000"/>
          <w:sz w:val="24"/>
        </w:rPr>
        <w:t xml:space="preserve">consideration of cl 30(2) as to whether adequate </w:t>
      </w:r>
      <w:r>
        <w:rPr>
          <w:rFonts w:ascii="Arial"/>
          <w:color w:val="000000"/>
          <w:sz w:val="24"/>
        </w:rPr>
        <w:t xml:space="preserve">regard has been given to the design quality principles, and the objectives specified in the </w:t>
      </w:r>
      <w:r>
        <w:rPr>
          <w:rFonts w:ascii="Arial"/>
          <w:color w:val="000000"/>
          <w:sz w:val="24"/>
        </w:rPr>
        <w:t>ADG </w:t>
      </w:r>
      <w:r>
        <w:rPr>
          <w:rFonts w:ascii="Arial"/>
          <w:color w:val="000000"/>
          <w:sz w:val="24"/>
        </w:rPr>
        <w:t>for</w:t>
      </w:r>
      <w:r>
        <w:rPr>
          <w:rFonts w:ascii="Arial"/>
          <w:color w:val="000000"/>
          <w:sz w:val="24"/>
        </w:rPr>
        <w:t xml:space="preserve"> </w:t>
      </w:r>
      <w:r>
        <w:rPr>
          <w:rFonts w:ascii="Arial"/>
          <w:color w:val="000000"/>
          <w:sz w:val="24"/>
        </w:rPr>
        <w:t>the relevant design criteria.</w:t>
      </w:r>
    </w:p>
    <w:p>
      <w:pPr>
        <w:pStyle w:val="CaselawNumbered10"/>
        <w:numPr>
          <w:ilvl w:val="0"/>
          <w:numId w:val="44"/>
        </w:numPr>
        <w:spacing w:before="150" w:after="0"/>
        <w:ind w:left="600" w:hanging="600"/>
      </w:pPr>
      <w:r>
        <w:rPr>
          <w:rFonts w:ascii="Arial"/>
          <w:color w:val="000000"/>
          <w:sz w:val="24"/>
        </w:rPr>
        <w:t xml:space="preserve">The </w:t>
      </w:r>
      <w:r>
        <w:rPr>
          <w:rFonts w:ascii="Arial"/>
          <w:color w:val="000000"/>
          <w:sz w:val="24"/>
        </w:rPr>
        <w:t>statement prepared in support of the development application did not conform to the requirements of cl 50(1AB) of the EPA Regulation</w:t>
      </w:r>
      <w:r>
        <w:rPr>
          <w:rFonts w:ascii="Arial"/>
          <w:color w:val="000000"/>
          <w:sz w:val="24"/>
        </w:rPr>
        <w:t>. The Applicant was directed to provide a statement in the required form</w:t>
      </w:r>
      <w:r>
        <w:rPr>
          <w:rFonts w:ascii="Arial"/>
          <w:color w:val="000000"/>
          <w:sz w:val="24"/>
        </w:rPr>
        <w:t xml:space="preserve">, later marked </w:t>
      </w:r>
      <w:r>
        <w:rPr>
          <w:rFonts w:ascii="Arial"/>
          <w:color w:val="000000"/>
          <w:sz w:val="24"/>
        </w:rPr>
        <w:t>Exhibit Y.</w:t>
      </w:r>
      <w:r>
        <w:rPr>
          <w:rFonts w:ascii="Arial"/>
          <w:color w:val="000000"/>
          <w:sz w:val="24"/>
        </w:rPr>
        <w:t xml:space="preserve"> </w:t>
      </w:r>
    </w:p>
    <w:p>
      <w:pPr>
        <w:pStyle w:val="CaselawNumbered10"/>
        <w:numPr>
          <w:ilvl w:val="0"/>
          <w:numId w:val="44"/>
        </w:numPr>
        <w:spacing w:before="150" w:after="0"/>
        <w:ind w:left="600" w:hanging="600"/>
      </w:pPr>
      <w:r>
        <w:rPr>
          <w:rFonts w:ascii="Arial"/>
          <w:color w:val="000000"/>
          <w:sz w:val="24"/>
        </w:rPr>
        <w:t xml:space="preserve">I am satisfied that the statement provided by Mr </w:t>
      </w:r>
      <w:r>
        <w:rPr>
          <w:rFonts w:ascii="Arial"/>
          <w:color w:val="000000"/>
          <w:sz w:val="24"/>
        </w:rPr>
        <w:t>Tony Owen</w:t>
      </w:r>
      <w:r>
        <w:rPr>
          <w:rFonts w:ascii="Arial"/>
          <w:color w:val="000000"/>
          <w:sz w:val="24"/>
        </w:rPr>
        <w:t xml:space="preserve"> </w:t>
      </w:r>
      <w:r>
        <w:rPr>
          <w:rFonts w:ascii="Arial"/>
          <w:color w:val="000000"/>
          <w:sz w:val="24"/>
        </w:rPr>
        <w:t xml:space="preserve">(Reg No.4907) is in a complying form and adequately demonstrates that the development is largely consistent with the design quality </w:t>
      </w:r>
      <w:r>
        <w:rPr>
          <w:rFonts w:ascii="Arial"/>
          <w:color w:val="000000"/>
          <w:sz w:val="24"/>
        </w:rPr>
        <w:t>principles,</w:t>
      </w:r>
      <w:r>
        <w:rPr>
          <w:rFonts w:ascii="Arial"/>
          <w:color w:val="000000"/>
          <w:sz w:val="24"/>
        </w:rPr>
        <w:t xml:space="preserve"> </w:t>
      </w:r>
      <w:r>
        <w:rPr>
          <w:rFonts w:ascii="Arial"/>
          <w:color w:val="000000"/>
          <w:sz w:val="24"/>
        </w:rPr>
        <w:t>and</w:t>
      </w:r>
      <w:r>
        <w:rPr>
          <w:rFonts w:ascii="Arial"/>
          <w:color w:val="000000"/>
          <w:sz w:val="24"/>
        </w:rPr>
        <w:t xml:space="preserve"> </w:t>
      </w:r>
      <w:r>
        <w:rPr>
          <w:rFonts w:ascii="Arial"/>
          <w:color w:val="000000"/>
          <w:sz w:val="24"/>
        </w:rPr>
        <w:t>achieves the</w:t>
      </w:r>
      <w:r>
        <w:rPr>
          <w:rFonts w:ascii="Arial"/>
          <w:color w:val="000000"/>
          <w:sz w:val="24"/>
        </w:rPr>
        <w:t xml:space="preserve"> </w:t>
      </w:r>
      <w:r>
        <w:rPr>
          <w:rFonts w:ascii="Arial"/>
          <w:color w:val="000000"/>
          <w:sz w:val="24"/>
        </w:rPr>
        <w:t xml:space="preserve">objectives and design criteria of </w:t>
      </w:r>
      <w:r>
        <w:rPr>
          <w:rFonts w:ascii="Arial"/>
          <w:color w:val="000000"/>
          <w:sz w:val="24"/>
        </w:rPr>
        <w:t>the </w:t>
      </w:r>
      <w:r>
        <w:rPr>
          <w:rFonts w:ascii="Arial"/>
          <w:color w:val="000000"/>
          <w:sz w:val="24"/>
        </w:rPr>
        <w:t>ADG</w:t>
      </w:r>
      <w:r>
        <w:rPr>
          <w:rFonts w:ascii="Arial"/>
          <w:color w:val="000000"/>
          <w:sz w:val="24"/>
        </w:rPr>
        <w:t>.</w:t>
      </w:r>
    </w:p>
    <w:p>
      <w:pPr>
        <w:pStyle w:val="CaselawNumbered10"/>
        <w:numPr>
          <w:ilvl w:val="0"/>
          <w:numId w:val="44"/>
        </w:numPr>
        <w:spacing w:before="150" w:after="0"/>
        <w:ind w:left="600" w:hanging="600"/>
      </w:pPr>
      <w:r>
        <w:rPr>
          <w:rFonts w:ascii="Arial"/>
          <w:color w:val="000000"/>
          <w:sz w:val="24"/>
        </w:rPr>
        <w:t xml:space="preserve">I am also of the opinion that the proposal is consistent with those standards at cl 30(1) </w:t>
      </w:r>
      <w:r>
        <w:rPr>
          <w:rFonts w:ascii="Arial"/>
          <w:color w:val="000000"/>
          <w:sz w:val="24"/>
        </w:rPr>
        <w:t xml:space="preserve">of SEPP 65 </w:t>
      </w:r>
      <w:r>
        <w:rPr>
          <w:rFonts w:ascii="Arial"/>
          <w:color w:val="000000"/>
          <w:sz w:val="24"/>
        </w:rPr>
        <w:t>that cannot be used as grounds to refuse development consent.</w:t>
      </w:r>
    </w:p>
    <w:p>
      <w:pPr>
        <w:pStyle w:val="CaselawNumbered10"/>
        <w:numPr>
          <w:ilvl w:val="0"/>
          <w:numId w:val="44"/>
        </w:numPr>
        <w:spacing w:before="150" w:after="0"/>
        <w:ind w:left="600" w:hanging="600"/>
      </w:pPr>
      <w:r>
        <w:rPr>
          <w:rFonts w:ascii="Arial"/>
          <w:color w:val="000000"/>
          <w:sz w:val="24"/>
        </w:rPr>
        <w:t>That said, I note the</w:t>
      </w:r>
      <w:r>
        <w:rPr>
          <w:rFonts w:ascii="Arial"/>
          <w:color w:val="000000"/>
          <w:sz w:val="24"/>
        </w:rPr>
        <w:t xml:space="preserve"> </w:t>
      </w:r>
      <w:r>
        <w:rPr>
          <w:rFonts w:ascii="Arial"/>
          <w:color w:val="000000"/>
          <w:sz w:val="24"/>
        </w:rPr>
        <w:t>proposal</w:t>
      </w:r>
      <w:r>
        <w:rPr>
          <w:rFonts w:ascii="Arial"/>
          <w:color w:val="000000"/>
          <w:sz w:val="24"/>
        </w:rPr>
        <w:t xml:space="preserve"> </w:t>
      </w:r>
      <w:r>
        <w:rPr>
          <w:rFonts w:ascii="Arial"/>
          <w:color w:val="000000"/>
          <w:sz w:val="24"/>
        </w:rPr>
        <w:t>encroach</w:t>
      </w:r>
      <w:r>
        <w:rPr>
          <w:rFonts w:ascii="Arial"/>
          <w:color w:val="000000"/>
          <w:sz w:val="24"/>
        </w:rPr>
        <w:t>es</w:t>
      </w:r>
      <w:r>
        <w:rPr>
          <w:rFonts w:ascii="Arial"/>
          <w:color w:val="000000"/>
          <w:sz w:val="24"/>
        </w:rPr>
        <w:t xml:space="preserve"> </w:t>
      </w:r>
      <w:r>
        <w:rPr>
          <w:rFonts w:ascii="Arial"/>
          <w:color w:val="000000"/>
          <w:sz w:val="24"/>
        </w:rPr>
        <w:t xml:space="preserve">by 150mm </w:t>
      </w:r>
      <w:r>
        <w:rPr>
          <w:rFonts w:ascii="Arial"/>
          <w:color w:val="000000"/>
          <w:sz w:val="24"/>
        </w:rPr>
        <w:t>on the setback of 6m</w:t>
      </w:r>
      <w:r>
        <w:rPr>
          <w:rFonts w:ascii="Arial"/>
          <w:color w:val="000000"/>
          <w:sz w:val="24"/>
        </w:rPr>
        <w:t xml:space="preserve"> </w:t>
      </w:r>
      <w:r>
        <w:rPr>
          <w:rFonts w:ascii="Arial"/>
          <w:color w:val="000000"/>
          <w:sz w:val="24"/>
        </w:rPr>
        <w:t>required by</w:t>
      </w:r>
      <w:r>
        <w:rPr>
          <w:rFonts w:ascii="Arial"/>
          <w:color w:val="000000"/>
          <w:sz w:val="24"/>
        </w:rPr>
        <w:t xml:space="preserve"> </w:t>
      </w:r>
      <w:r>
        <w:rPr>
          <w:rFonts w:ascii="Arial"/>
          <w:color w:val="000000"/>
          <w:sz w:val="24"/>
        </w:rPr>
        <w:t>design criteria 1, under Objective 3F-1,</w:t>
      </w:r>
      <w:r>
        <w:rPr>
          <w:rFonts w:ascii="Arial"/>
          <w:color w:val="000000"/>
          <w:sz w:val="24"/>
        </w:rPr>
        <w:t xml:space="preserve"> </w:t>
      </w:r>
      <w:r>
        <w:rPr>
          <w:rFonts w:ascii="Arial"/>
          <w:color w:val="000000"/>
          <w:sz w:val="24"/>
        </w:rPr>
        <w:t>to the south of the site</w:t>
      </w:r>
      <w:r>
        <w:rPr>
          <w:rFonts w:ascii="Arial"/>
          <w:color w:val="000000"/>
          <w:sz w:val="24"/>
        </w:rPr>
        <w:t>.</w:t>
      </w:r>
      <w:r>
        <w:rPr>
          <w:rFonts w:ascii="Arial"/>
          <w:color w:val="000000"/>
          <w:sz w:val="24"/>
        </w:rPr>
        <w:t xml:space="preserve"> </w:t>
      </w:r>
      <w:r>
        <w:rPr>
          <w:rFonts w:ascii="Arial"/>
          <w:color w:val="000000"/>
          <w:sz w:val="24"/>
        </w:rPr>
        <w:t xml:space="preserve">The statement </w:t>
      </w:r>
      <w:r>
        <w:rPr>
          <w:rFonts w:ascii="Arial"/>
          <w:color w:val="000000"/>
          <w:sz w:val="24"/>
        </w:rPr>
        <w:t>asserts</w:t>
      </w:r>
      <w:r>
        <w:rPr>
          <w:rFonts w:ascii="Arial"/>
          <w:color w:val="000000"/>
          <w:sz w:val="24"/>
        </w:rPr>
        <w:t xml:space="preserve"> </w:t>
      </w:r>
      <w:r>
        <w:rPr>
          <w:rFonts w:ascii="Arial"/>
          <w:color w:val="000000"/>
          <w:sz w:val="24"/>
        </w:rPr>
        <w:t>the encroachment is</w:t>
      </w:r>
      <w:r>
        <w:rPr>
          <w:rFonts w:ascii="Arial"/>
          <w:color w:val="000000"/>
          <w:sz w:val="24"/>
        </w:rPr>
        <w:t xml:space="preserve"> </w:t>
      </w:r>
      <w:r>
        <w:rPr>
          <w:rFonts w:ascii="Arial"/>
          <w:color w:val="000000"/>
          <w:sz w:val="24"/>
        </w:rPr>
        <w:t xml:space="preserve">caused by </w:t>
      </w:r>
      <w:r>
        <w:rPr>
          <w:rFonts w:ascii="Arial"/>
          <w:color w:val="000000"/>
          <w:sz w:val="24"/>
        </w:rPr>
        <w:t xml:space="preserve">the </w:t>
      </w:r>
      <w:r>
        <w:rPr>
          <w:rFonts w:ascii="Arial"/>
          <w:color w:val="000000"/>
          <w:sz w:val="24"/>
        </w:rPr>
        <w:t>large vertical fins</w:t>
      </w:r>
      <w:r>
        <w:rPr>
          <w:rFonts w:ascii="Arial"/>
          <w:color w:val="000000"/>
          <w:sz w:val="24"/>
        </w:rPr>
        <w:t xml:space="preserve"> </w:t>
      </w:r>
      <w:r>
        <w:rPr>
          <w:rFonts w:ascii="Arial"/>
          <w:color w:val="000000"/>
          <w:sz w:val="24"/>
        </w:rPr>
        <w:t xml:space="preserve">and windows that are angled to aid privacy, which is the </w:t>
      </w:r>
      <w:r>
        <w:rPr>
          <w:rFonts w:ascii="Arial"/>
          <w:color w:val="000000"/>
          <w:sz w:val="24"/>
        </w:rPr>
        <w:t>objective</w:t>
      </w:r>
      <w:r>
        <w:rPr>
          <w:rFonts w:ascii="Arial"/>
          <w:color w:val="000000"/>
          <w:sz w:val="24"/>
        </w:rPr>
        <w:t xml:space="preserve"> </w:t>
      </w:r>
      <w:r>
        <w:rPr>
          <w:rFonts w:ascii="Arial"/>
          <w:color w:val="000000"/>
          <w:sz w:val="24"/>
        </w:rPr>
        <w:t xml:space="preserve">of </w:t>
      </w:r>
      <w:r>
        <w:rPr>
          <w:rFonts w:ascii="Arial"/>
          <w:color w:val="000000"/>
          <w:sz w:val="24"/>
        </w:rPr>
        <w:t>3F-1</w:t>
      </w:r>
      <w:r>
        <w:rPr>
          <w:rFonts w:ascii="Arial"/>
          <w:color w:val="000000"/>
          <w:sz w:val="24"/>
        </w:rPr>
        <w:t>.</w:t>
      </w:r>
      <w:r>
        <w:rPr>
          <w:rFonts w:ascii="Arial"/>
          <w:color w:val="000000"/>
          <w:sz w:val="24"/>
        </w:rPr>
        <w:t xml:space="preserve"> </w:t>
      </w:r>
      <w:r>
        <w:rPr>
          <w:rFonts w:ascii="Arial"/>
          <w:color w:val="000000"/>
          <w:sz w:val="24"/>
        </w:rPr>
        <w:t xml:space="preserve">On this basis I consider the </w:t>
      </w:r>
      <w:r>
        <w:rPr>
          <w:rFonts w:ascii="Arial"/>
          <w:color w:val="000000"/>
          <w:sz w:val="24"/>
        </w:rPr>
        <w:t>non-conformance</w:t>
      </w:r>
      <w:r>
        <w:rPr>
          <w:rFonts w:ascii="Arial"/>
          <w:color w:val="000000"/>
          <w:sz w:val="24"/>
        </w:rPr>
        <w:t xml:space="preserve"> </w:t>
      </w:r>
      <w:r>
        <w:rPr>
          <w:rFonts w:ascii="Arial"/>
          <w:color w:val="000000"/>
          <w:sz w:val="24"/>
        </w:rPr>
        <w:t>acceptable</w:t>
      </w:r>
      <w:r>
        <w:rPr>
          <w:rFonts w:ascii="Arial"/>
          <w:color w:val="000000"/>
          <w:sz w:val="24"/>
        </w:rPr>
        <w:t>.</w:t>
      </w:r>
    </w:p>
    <w:p>
      <w:pPr>
        <w:pStyle w:val="CaselawHeading2"/>
        <w:keepNext/>
        <w:spacing w:before="150" w:after="150" w:line="264"/>
        <w:ind w:left="0"/>
        <w:jc w:val="left"/>
      </w:pPr>
      <w:r>
        <w:rPr>
          <w:rFonts w:ascii="Arial"/>
        </w:rPr>
        <w:t>State Environmental Planning Policy (Building Sustainability Index: BASIX) 2004</w:t>
      </w:r>
    </w:p>
    <w:p>
      <w:pPr>
        <w:pStyle w:val="CaselawNumbered10"/>
        <w:numPr>
          <w:ilvl w:val="0"/>
          <w:numId w:val="45"/>
        </w:numPr>
        <w:spacing w:before="150" w:after="0"/>
        <w:ind w:left="600" w:hanging="600"/>
      </w:pPr>
      <w:r>
        <w:rPr>
          <w:rFonts w:ascii="Arial"/>
          <w:color w:val="000000"/>
          <w:sz w:val="24"/>
        </w:rPr>
        <w:t xml:space="preserve">The application is accompanied by a BASIX certificate </w:t>
      </w:r>
      <w:r>
        <w:rPr>
          <w:rFonts w:ascii="Arial"/>
          <w:color w:val="000000"/>
          <w:sz w:val="24"/>
        </w:rPr>
        <w:t xml:space="preserve">(Cert No. </w:t>
      </w:r>
      <w:r>
        <w:rPr>
          <w:rFonts w:ascii="Arial"/>
          <w:color w:val="000000"/>
          <w:sz w:val="24"/>
        </w:rPr>
        <w:t>121</w:t>
      </w:r>
      <w:r>
        <w:rPr>
          <w:rFonts w:ascii="Arial"/>
          <w:color w:val="000000"/>
          <w:sz w:val="24"/>
        </w:rPr>
        <w:t>0514M</w:t>
      </w:r>
      <w:r>
        <w:rPr>
          <w:rFonts w:ascii="Arial"/>
          <w:color w:val="000000"/>
          <w:sz w:val="24"/>
        </w:rPr>
        <w:t>_0</w:t>
      </w:r>
      <w:r>
        <w:rPr>
          <w:rFonts w:ascii="Arial"/>
          <w:color w:val="000000"/>
          <w:sz w:val="24"/>
        </w:rPr>
        <w:t>3</w:t>
      </w:r>
      <w:r>
        <w:rPr>
          <w:rFonts w:ascii="Arial"/>
          <w:color w:val="000000"/>
          <w:sz w:val="24"/>
        </w:rPr>
        <w:t xml:space="preserve">, dated </w:t>
      </w:r>
      <w:r>
        <w:rPr>
          <w:rFonts w:ascii="Arial"/>
          <w:color w:val="000000"/>
          <w:sz w:val="24"/>
        </w:rPr>
        <w:t>31</w:t>
      </w:r>
      <w:r>
        <w:rPr>
          <w:rFonts w:ascii="Arial"/>
          <w:color w:val="000000"/>
          <w:sz w:val="24"/>
        </w:rPr>
        <w:t xml:space="preserve"> August </w:t>
      </w:r>
      <w:r>
        <w:rPr>
          <w:rFonts w:ascii="Arial"/>
          <w:color w:val="000000"/>
          <w:sz w:val="24"/>
        </w:rPr>
        <w:t xml:space="preserve">2022) </w:t>
      </w:r>
      <w:r>
        <w:rPr>
          <w:rFonts w:ascii="Arial"/>
          <w:color w:val="000000"/>
          <w:sz w:val="24"/>
        </w:rPr>
        <w:t xml:space="preserve">prepared by </w:t>
      </w:r>
      <w:r>
        <w:rPr>
          <w:rFonts w:ascii="Arial"/>
          <w:color w:val="000000"/>
          <w:sz w:val="24"/>
        </w:rPr>
        <w:t>ESD Synergy Pty Ltd</w:t>
      </w:r>
      <w:r>
        <w:rPr>
          <w:rFonts w:ascii="Arial"/>
          <w:color w:val="000000"/>
          <w:sz w:val="24"/>
        </w:rPr>
        <w:t xml:space="preserve"> (Exhibit C, Tab 5)</w:t>
      </w:r>
      <w:r>
        <w:rPr>
          <w:rFonts w:ascii="Arial"/>
          <w:color w:val="000000"/>
          <w:sz w:val="24"/>
        </w:rPr>
        <w:t xml:space="preserve"> </w:t>
      </w:r>
      <w:r>
        <w:rPr>
          <w:rFonts w:ascii="Arial"/>
          <w:color w:val="000000"/>
          <w:sz w:val="24"/>
        </w:rPr>
        <w:t>in</w:t>
      </w:r>
      <w:r>
        <w:rPr>
          <w:rFonts w:ascii="Arial"/>
          <w:color w:val="000000"/>
          <w:sz w:val="24"/>
        </w:rPr>
        <w:t xml:space="preserve"> </w:t>
      </w:r>
      <w:r>
        <w:rPr>
          <w:rFonts w:ascii="Arial"/>
          <w:color w:val="000000"/>
          <w:sz w:val="24"/>
        </w:rPr>
        <w:t xml:space="preserve">accordance with State Environmental Planning Policy (Building Sustainability Index: BASIX) 2004 and the EPA Regulation. </w:t>
      </w:r>
    </w:p>
    <w:p>
      <w:pPr>
        <w:pStyle w:val="CaselawHeading2"/>
        <w:keepNext/>
        <w:spacing w:before="150" w:after="150" w:line="264"/>
        <w:ind w:left="0"/>
        <w:jc w:val="left"/>
      </w:pPr>
      <w:r>
        <w:rPr>
          <w:rFonts w:ascii="Arial"/>
        </w:rPr>
        <w:t>State Environmental Planning Policy (Infrastructure) 2007</w:t>
      </w:r>
    </w:p>
    <w:p>
      <w:pPr>
        <w:pStyle w:val="CaselawNumbered10"/>
        <w:numPr>
          <w:ilvl w:val="0"/>
          <w:numId w:val="46"/>
        </w:numPr>
        <w:spacing w:before="150" w:after="0"/>
        <w:ind w:left="600" w:hanging="600"/>
      </w:pPr>
      <w:r>
        <w:rPr>
          <w:rFonts w:ascii="Arial"/>
          <w:color w:val="000000"/>
          <w:sz w:val="24"/>
        </w:rPr>
        <w:t xml:space="preserve">Essential Energy, under </w:t>
      </w:r>
      <w:r>
        <w:rPr>
          <w:rFonts w:ascii="Arial"/>
          <w:color w:val="000000"/>
          <w:sz w:val="24"/>
        </w:rPr>
        <w:t xml:space="preserve">s 2.48 </w:t>
      </w:r>
      <w:r>
        <w:rPr>
          <w:rFonts w:ascii="Arial"/>
          <w:color w:val="000000"/>
          <w:sz w:val="24"/>
        </w:rPr>
        <w:t xml:space="preserve">of the </w:t>
      </w:r>
      <w:r>
        <w:rPr>
          <w:rFonts w:ascii="Arial"/>
          <w:color w:val="000000"/>
          <w:sz w:val="24"/>
        </w:rPr>
        <w:t>State Environmental Planning Policy (Transport and Infrastructure) 2021</w:t>
      </w:r>
      <w:r>
        <w:rPr>
          <w:rFonts w:ascii="Arial"/>
          <w:i/>
          <w:color w:val="000000"/>
          <w:sz w:val="24"/>
        </w:rPr>
        <w:t xml:space="preserve"> (</w:t>
      </w:r>
      <w:r>
        <w:rPr>
          <w:rFonts w:ascii="Arial"/>
          <w:color w:val="000000"/>
          <w:sz w:val="24"/>
        </w:rPr>
        <w:t>Transport and Infrastructure SEPP)</w:t>
      </w:r>
      <w:r>
        <w:rPr>
          <w:rFonts w:ascii="Arial"/>
          <w:color w:val="000000"/>
          <w:sz w:val="24"/>
        </w:rPr>
        <w:t xml:space="preserve">, </w:t>
      </w:r>
      <w:r>
        <w:rPr>
          <w:rFonts w:ascii="Arial"/>
          <w:color w:val="000000"/>
          <w:sz w:val="24"/>
        </w:rPr>
        <w:t>provided a response to the development application</w:t>
      </w:r>
      <w:r>
        <w:rPr>
          <w:rFonts w:ascii="Arial"/>
          <w:color w:val="000000"/>
          <w:sz w:val="24"/>
        </w:rPr>
        <w:t xml:space="preserve"> </w:t>
      </w:r>
      <w:r>
        <w:rPr>
          <w:rFonts w:ascii="Arial"/>
          <w:color w:val="000000"/>
          <w:sz w:val="24"/>
        </w:rPr>
        <w:t xml:space="preserve">dated 29 </w:t>
      </w:r>
      <w:r>
        <w:rPr>
          <w:rFonts w:ascii="Arial"/>
          <w:color w:val="000000"/>
          <w:sz w:val="24"/>
        </w:rPr>
        <w:t>September 2021</w:t>
      </w:r>
      <w:r>
        <w:rPr>
          <w:rFonts w:ascii="Arial"/>
          <w:color w:val="000000"/>
          <w:sz w:val="24"/>
        </w:rPr>
        <w:t xml:space="preserve"> </w:t>
      </w:r>
      <w:r>
        <w:rPr>
          <w:rFonts w:ascii="Arial"/>
          <w:color w:val="000000"/>
          <w:sz w:val="24"/>
        </w:rPr>
        <w:t>(Exhibit 2, folio 44)</w:t>
      </w:r>
      <w:r>
        <w:rPr>
          <w:rFonts w:ascii="Arial"/>
          <w:color w:val="000000"/>
          <w:sz w:val="24"/>
        </w:rPr>
        <w:t xml:space="preserve">. </w:t>
      </w:r>
    </w:p>
    <w:p>
      <w:pPr>
        <w:pStyle w:val="CaselawNumbered10"/>
        <w:numPr>
          <w:ilvl w:val="0"/>
          <w:numId w:val="46"/>
        </w:numPr>
        <w:spacing w:before="150" w:after="0"/>
        <w:ind w:left="600" w:hanging="600"/>
      </w:pPr>
      <w:r>
        <w:rPr>
          <w:rFonts w:ascii="Arial"/>
          <w:color w:val="000000"/>
          <w:sz w:val="24"/>
        </w:rPr>
        <w:t>Conditions of consent</w:t>
      </w:r>
      <w:r>
        <w:rPr>
          <w:rFonts w:ascii="Arial"/>
          <w:color w:val="000000"/>
          <w:sz w:val="24"/>
        </w:rPr>
        <w:t xml:space="preserve"> </w:t>
      </w:r>
      <w:r>
        <w:rPr>
          <w:rFonts w:ascii="Arial"/>
          <w:color w:val="000000"/>
          <w:sz w:val="24"/>
        </w:rPr>
        <w:t>provided by Essential Energy</w:t>
      </w:r>
      <w:r>
        <w:rPr>
          <w:rFonts w:ascii="Arial"/>
          <w:color w:val="000000"/>
          <w:sz w:val="24"/>
        </w:rPr>
        <w:t xml:space="preserve"> </w:t>
      </w:r>
      <w:r>
        <w:rPr>
          <w:rFonts w:ascii="Arial"/>
          <w:color w:val="000000"/>
          <w:sz w:val="24"/>
        </w:rPr>
        <w:t>are contained</w:t>
      </w:r>
      <w:r>
        <w:rPr>
          <w:rFonts w:ascii="Arial"/>
          <w:color w:val="000000"/>
          <w:sz w:val="24"/>
        </w:rPr>
        <w:t xml:space="preserve"> </w:t>
      </w:r>
      <w:r>
        <w:rPr>
          <w:rFonts w:ascii="Arial"/>
          <w:color w:val="000000"/>
          <w:sz w:val="24"/>
        </w:rPr>
        <w:t xml:space="preserve">at Condition 20-22 </w:t>
      </w:r>
      <w:r>
        <w:rPr>
          <w:rFonts w:ascii="Arial"/>
          <w:color w:val="000000"/>
          <w:sz w:val="24"/>
        </w:rPr>
        <w:t>of the agreed conditions of consent.</w:t>
      </w:r>
      <w:r>
        <w:rPr>
          <w:rFonts w:ascii="Arial"/>
          <w:color w:val="000000"/>
          <w:sz w:val="24"/>
        </w:rPr>
        <w:t xml:space="preserve"> </w:t>
      </w:r>
    </w:p>
    <w:p>
      <w:pPr>
        <w:pStyle w:val="CaselawHeading2"/>
        <w:keepNext/>
        <w:spacing w:before="150" w:after="150" w:line="264"/>
        <w:ind w:left="0"/>
        <w:jc w:val="left"/>
      </w:pPr>
      <w:r>
        <w:rPr>
          <w:rFonts w:ascii="Arial"/>
        </w:rPr>
        <w:t>Water Management Act 2000</w:t>
      </w:r>
    </w:p>
    <w:p>
      <w:pPr>
        <w:pStyle w:val="CaselawNumbered10"/>
        <w:numPr>
          <w:ilvl w:val="0"/>
          <w:numId w:val="47"/>
        </w:numPr>
        <w:spacing w:before="150" w:after="0"/>
        <w:ind w:left="600" w:hanging="600"/>
      </w:pPr>
      <w:r>
        <w:rPr>
          <w:rFonts w:ascii="Arial"/>
          <w:color w:val="000000"/>
          <w:sz w:val="24"/>
        </w:rPr>
        <w:t>The proposal is integrated development, pursuant to s 4.46 of the EPA Act</w:t>
      </w:r>
      <w:r>
        <w:rPr>
          <w:rFonts w:ascii="Arial"/>
          <w:color w:val="000000"/>
          <w:sz w:val="24"/>
        </w:rPr>
        <w:t xml:space="preserve"> </w:t>
      </w:r>
      <w:r>
        <w:rPr>
          <w:rFonts w:ascii="Arial"/>
          <w:color w:val="000000"/>
          <w:sz w:val="24"/>
        </w:rPr>
        <w:t xml:space="preserve">and by virtue of </w:t>
      </w:r>
      <w:r>
        <w:rPr>
          <w:rFonts w:ascii="Arial"/>
          <w:color w:val="000000"/>
          <w:sz w:val="24"/>
        </w:rPr>
        <w:t xml:space="preserve">s 90(2) of the </w:t>
      </w:r>
      <w:r>
        <w:rPr>
          <w:rFonts w:ascii="Arial"/>
          <w:i/>
          <w:color w:val="000000"/>
          <w:sz w:val="24"/>
        </w:rPr>
        <w:t>Water Management Act 2000</w:t>
      </w:r>
      <w:r>
        <w:rPr>
          <w:rFonts w:ascii="Arial"/>
          <w:color w:val="000000"/>
          <w:sz w:val="24"/>
        </w:rPr>
        <w:t>.</w:t>
      </w:r>
    </w:p>
    <w:p>
      <w:pPr>
        <w:pStyle w:val="CaselawNumbered10"/>
        <w:numPr>
          <w:ilvl w:val="0"/>
          <w:numId w:val="47"/>
        </w:numPr>
        <w:spacing w:before="150" w:after="0"/>
        <w:ind w:left="600" w:hanging="600"/>
      </w:pPr>
      <w:r>
        <w:rPr>
          <w:rFonts w:ascii="Arial"/>
          <w:color w:val="000000"/>
          <w:sz w:val="24"/>
        </w:rPr>
        <w:t xml:space="preserve">On 18 December 2021, </w:t>
      </w:r>
      <w:r>
        <w:rPr>
          <w:rFonts w:ascii="Arial"/>
          <w:color w:val="000000"/>
          <w:sz w:val="24"/>
        </w:rPr>
        <w:t xml:space="preserve">Water NSW issued </w:t>
      </w:r>
      <w:r>
        <w:rPr>
          <w:rFonts w:ascii="Arial"/>
          <w:color w:val="000000"/>
          <w:sz w:val="24"/>
        </w:rPr>
        <w:t xml:space="preserve">general terms of approval, noting that the Applicant must obtain approval from Water Supply Work after any consent is granted and before the commencement of any work or activity. </w:t>
      </w:r>
    </w:p>
    <w:p>
      <w:pPr>
        <w:pStyle w:val="CaselawNumbered10"/>
        <w:numPr>
          <w:ilvl w:val="0"/>
          <w:numId w:val="47"/>
        </w:numPr>
        <w:spacing w:before="150" w:after="0"/>
        <w:ind w:left="600" w:hanging="600"/>
      </w:pPr>
      <w:r>
        <w:rPr>
          <w:rFonts w:ascii="Arial"/>
          <w:color w:val="000000"/>
          <w:sz w:val="24"/>
        </w:rPr>
        <w:t>The terms provided by Water NSW are incorporated into the agreed conditions of consent.</w:t>
      </w:r>
    </w:p>
    <w:p>
      <w:pPr>
        <w:pStyle w:val="CaselawHeading2"/>
        <w:keepNext/>
        <w:spacing w:before="150" w:after="150" w:line="264"/>
        <w:ind w:left="0"/>
        <w:jc w:val="left"/>
      </w:pPr>
      <w:r>
        <w:rPr>
          <w:rFonts w:ascii="Arial"/>
        </w:rPr>
        <w:t xml:space="preserve">Contamination </w:t>
      </w:r>
    </w:p>
    <w:p>
      <w:pPr>
        <w:pStyle w:val="CaselawNumbered10"/>
        <w:numPr>
          <w:ilvl w:val="0"/>
          <w:numId w:val="48"/>
        </w:numPr>
        <w:spacing w:before="150" w:after="0"/>
        <w:ind w:left="600" w:hanging="600"/>
      </w:pPr>
      <w:r>
        <w:rPr>
          <w:rFonts w:ascii="Arial"/>
          <w:color w:val="000000"/>
          <w:sz w:val="24"/>
        </w:rPr>
        <w:t>Consistent with the terms of cl 7 of State Environmental Planning Policy No 55</w:t>
      </w:r>
      <w:r>
        <w:rPr>
          <w:rFonts w:ascii="Arial"/>
          <w:color w:val="000000"/>
          <w:sz w:val="24"/>
        </w:rPr>
        <w:t>—</w:t>
      </w:r>
      <w:r>
        <w:rPr>
          <w:rFonts w:ascii="Arial"/>
          <w:color w:val="000000"/>
          <w:sz w:val="24"/>
        </w:rPr>
        <w:t>Remediation of Land, the requirements of which were transferred to State Environmental Planning Policy (Resilience and Hazards) 2021 (Resilience and Hazard SEPP)</w:t>
      </w:r>
      <w:r>
        <w:rPr>
          <w:rFonts w:ascii="Arial"/>
          <w:color w:val="000000"/>
          <w:sz w:val="24"/>
        </w:rPr>
        <w:t xml:space="preserve"> </w:t>
      </w:r>
      <w:r>
        <w:rPr>
          <w:rFonts w:ascii="Arial"/>
          <w:color w:val="000000"/>
          <w:sz w:val="24"/>
        </w:rPr>
        <w:t>on 1 March 2022,</w:t>
      </w:r>
      <w:r>
        <w:rPr>
          <w:rFonts w:ascii="Arial"/>
          <w:color w:val="000000"/>
          <w:sz w:val="24"/>
        </w:rPr>
        <w:t xml:space="preserve"> I have </w:t>
      </w:r>
      <w:r>
        <w:rPr>
          <w:rFonts w:ascii="Arial"/>
          <w:color w:val="000000"/>
          <w:sz w:val="24"/>
        </w:rPr>
        <w:t>given consideration to</w:t>
      </w:r>
      <w:r>
        <w:rPr>
          <w:rFonts w:ascii="Arial"/>
          <w:color w:val="000000"/>
          <w:sz w:val="24"/>
        </w:rPr>
        <w:t xml:space="preserve"> </w:t>
      </w:r>
      <w:r>
        <w:rPr>
          <w:rFonts w:ascii="Arial"/>
          <w:color w:val="000000"/>
          <w:sz w:val="24"/>
        </w:rPr>
        <w:t xml:space="preserve">the potential contamination of the site. </w:t>
      </w:r>
    </w:p>
    <w:p>
      <w:pPr>
        <w:pStyle w:val="CaselawNumbered10"/>
        <w:numPr>
          <w:ilvl w:val="0"/>
          <w:numId w:val="48"/>
        </w:numPr>
        <w:spacing w:before="150" w:after="0"/>
        <w:ind w:left="600" w:hanging="600"/>
      </w:pPr>
      <w:r>
        <w:rPr>
          <w:rFonts w:ascii="Arial"/>
          <w:color w:val="000000"/>
          <w:sz w:val="24"/>
        </w:rPr>
        <w:t xml:space="preserve">The Applicant relies upon a Preliminary Site Investigation report (PSI Report), prepared dated </w:t>
      </w:r>
      <w:r>
        <w:rPr>
          <w:rFonts w:ascii="Arial"/>
          <w:color w:val="000000"/>
          <w:sz w:val="24"/>
        </w:rPr>
        <w:t>16 July 2021</w:t>
      </w:r>
      <w:r>
        <w:rPr>
          <w:rFonts w:ascii="Arial"/>
          <w:color w:val="000000"/>
          <w:sz w:val="24"/>
        </w:rPr>
        <w:t xml:space="preserve"> </w:t>
      </w:r>
      <w:r>
        <w:rPr>
          <w:rFonts w:ascii="Arial"/>
          <w:color w:val="000000"/>
          <w:sz w:val="24"/>
        </w:rPr>
        <w:t>(Exhibit J)</w:t>
      </w:r>
      <w:r>
        <w:rPr>
          <w:rFonts w:ascii="Arial"/>
          <w:color w:val="000000"/>
          <w:sz w:val="24"/>
        </w:rPr>
        <w:t xml:space="preserve">, </w:t>
      </w:r>
      <w:r>
        <w:rPr>
          <w:rFonts w:ascii="Arial"/>
          <w:color w:val="000000"/>
          <w:sz w:val="24"/>
        </w:rPr>
        <w:t xml:space="preserve">and a Detailed Site Investigation prepared by EI Australia dated </w:t>
      </w:r>
      <w:r>
        <w:rPr>
          <w:rFonts w:ascii="Arial"/>
          <w:color w:val="000000"/>
          <w:sz w:val="24"/>
        </w:rPr>
        <w:t>16 June 2022</w:t>
      </w:r>
      <w:r>
        <w:rPr>
          <w:rFonts w:ascii="Arial"/>
          <w:color w:val="000000"/>
          <w:sz w:val="24"/>
        </w:rPr>
        <w:t xml:space="preserve"> </w:t>
      </w:r>
      <w:r>
        <w:rPr>
          <w:rFonts w:ascii="Arial"/>
          <w:color w:val="000000"/>
          <w:sz w:val="24"/>
        </w:rPr>
        <w:t>(Exhibit U)</w:t>
      </w:r>
      <w:r>
        <w:rPr>
          <w:rFonts w:ascii="Arial"/>
          <w:color w:val="000000"/>
          <w:sz w:val="24"/>
        </w:rPr>
        <w:t xml:space="preserve">. The conclusions of those reports are </w:t>
      </w:r>
      <w:r>
        <w:rPr>
          <w:rFonts w:ascii="Arial"/>
          <w:color w:val="000000"/>
          <w:sz w:val="24"/>
        </w:rPr>
        <w:t xml:space="preserve">that the site is suitable for the </w:t>
      </w:r>
      <w:r>
        <w:rPr>
          <w:rFonts w:ascii="Arial"/>
          <w:color w:val="000000"/>
          <w:sz w:val="24"/>
        </w:rPr>
        <w:t>development proposed</w:t>
      </w:r>
      <w:r>
        <w:rPr>
          <w:rFonts w:ascii="Arial"/>
          <w:color w:val="000000"/>
          <w:sz w:val="24"/>
        </w:rPr>
        <w:t xml:space="preserve">, subject to recommendations that are </w:t>
      </w:r>
      <w:r>
        <w:rPr>
          <w:rFonts w:ascii="Arial"/>
          <w:color w:val="000000"/>
          <w:sz w:val="24"/>
        </w:rPr>
        <w:t>incorporated in the agreed conditions of consent.</w:t>
      </w:r>
    </w:p>
    <w:p>
      <w:pPr>
        <w:pStyle w:val="CaselawHeading2"/>
        <w:keepNext/>
        <w:spacing w:before="150" w:after="150" w:line="264"/>
        <w:ind w:left="0"/>
        <w:jc w:val="left"/>
      </w:pPr>
      <w:r>
        <w:rPr>
          <w:rFonts w:ascii="Arial"/>
        </w:rPr>
        <w:t>Public submissions</w:t>
      </w:r>
    </w:p>
    <w:p>
      <w:pPr>
        <w:pStyle w:val="CaselawHeading3"/>
        <w:keepNext/>
        <w:spacing w:before="150" w:after="150" w:line="264"/>
        <w:ind w:left="0"/>
        <w:jc w:val="left"/>
      </w:pPr>
      <w:r>
        <w:rPr>
          <w:rFonts w:ascii="Arial"/>
        </w:rPr>
        <w:t xml:space="preserve">Traffic, </w:t>
      </w:r>
      <w:r>
        <w:rPr>
          <w:rFonts w:ascii="Arial"/>
        </w:rPr>
        <w:t>parking</w:t>
      </w:r>
      <w:r>
        <w:rPr>
          <w:rFonts w:ascii="Arial"/>
        </w:rPr>
        <w:t xml:space="preserve"> and pedestrian safety</w:t>
      </w:r>
    </w:p>
    <w:p>
      <w:pPr>
        <w:pStyle w:val="CaselawNumbered10"/>
        <w:numPr>
          <w:ilvl w:val="0"/>
          <w:numId w:val="49"/>
        </w:numPr>
        <w:spacing w:before="150" w:after="0"/>
        <w:ind w:left="600" w:hanging="600"/>
      </w:pPr>
      <w:r>
        <w:rPr>
          <w:rFonts w:ascii="Arial"/>
          <w:color w:val="000000"/>
          <w:sz w:val="24"/>
        </w:rPr>
        <w:t>In response to the school principal</w:t>
      </w:r>
      <w:r>
        <w:rPr>
          <w:rFonts w:ascii="Arial"/>
          <w:color w:val="000000"/>
          <w:sz w:val="24"/>
        </w:rPr>
        <w:t>’</w:t>
      </w:r>
      <w:r>
        <w:rPr>
          <w:rFonts w:ascii="Arial"/>
          <w:color w:val="000000"/>
          <w:sz w:val="24"/>
        </w:rPr>
        <w:t>s concerns at the lack of pedestrian crossings, t</w:t>
      </w:r>
      <w:r>
        <w:rPr>
          <w:rFonts w:ascii="Arial"/>
          <w:color w:val="000000"/>
          <w:sz w:val="24"/>
        </w:rPr>
        <w:t xml:space="preserve">he Court sought </w:t>
      </w:r>
      <w:r>
        <w:rPr>
          <w:rFonts w:ascii="Arial"/>
          <w:color w:val="000000"/>
          <w:sz w:val="24"/>
        </w:rPr>
        <w:t xml:space="preserve">assistance from the Respondent as to whether works to upgrade footpaths, cycleways, </w:t>
      </w:r>
      <w:r>
        <w:rPr>
          <w:rFonts w:ascii="Arial"/>
          <w:color w:val="000000"/>
          <w:sz w:val="24"/>
        </w:rPr>
        <w:t>intersections</w:t>
      </w:r>
      <w:r>
        <w:rPr>
          <w:rFonts w:ascii="Arial"/>
          <w:color w:val="000000"/>
          <w:sz w:val="24"/>
        </w:rPr>
        <w:t xml:space="preserve"> </w:t>
      </w:r>
      <w:r>
        <w:rPr>
          <w:rFonts w:ascii="Arial"/>
          <w:color w:val="000000"/>
          <w:sz w:val="24"/>
        </w:rPr>
        <w:t>or the like are incorporated in the Respondent</w:t>
      </w:r>
      <w:r>
        <w:rPr>
          <w:rFonts w:ascii="Arial"/>
          <w:color w:val="000000"/>
          <w:sz w:val="24"/>
        </w:rPr>
        <w:t>’</w:t>
      </w:r>
      <w:r>
        <w:rPr>
          <w:rFonts w:ascii="Arial"/>
          <w:color w:val="000000"/>
          <w:sz w:val="24"/>
        </w:rPr>
        <w:t>s Contributions Plan</w:t>
      </w:r>
      <w:r>
        <w:rPr>
          <w:rFonts w:ascii="Arial"/>
          <w:color w:val="000000"/>
          <w:sz w:val="24"/>
        </w:rPr>
        <w:t xml:space="preserve">, and to which contributions </w:t>
      </w:r>
      <w:r>
        <w:rPr>
          <w:rFonts w:ascii="Arial"/>
          <w:color w:val="000000"/>
          <w:sz w:val="24"/>
        </w:rPr>
        <w:t>imposed by the conditions of consent are directed, pursuant to s 7.11 of the EPA Act</w:t>
      </w:r>
      <w:r>
        <w:rPr>
          <w:rFonts w:ascii="Arial"/>
          <w:color w:val="000000"/>
          <w:sz w:val="24"/>
        </w:rPr>
        <w:t>.</w:t>
      </w:r>
      <w:r>
        <w:rPr>
          <w:rFonts w:ascii="Arial"/>
          <w:color w:val="000000"/>
          <w:sz w:val="24"/>
        </w:rPr>
        <w:t xml:space="preserve"> </w:t>
      </w:r>
    </w:p>
    <w:p>
      <w:pPr>
        <w:pStyle w:val="CaselawNumbered10"/>
        <w:numPr>
          <w:ilvl w:val="0"/>
          <w:numId w:val="49"/>
        </w:numPr>
        <w:spacing w:before="150" w:after="0"/>
        <w:ind w:left="600" w:hanging="600"/>
      </w:pPr>
      <w:r>
        <w:rPr>
          <w:rFonts w:ascii="Arial"/>
          <w:color w:val="000000"/>
          <w:sz w:val="24"/>
        </w:rPr>
        <w:t xml:space="preserve">The Respondent </w:t>
      </w:r>
      <w:r>
        <w:rPr>
          <w:rFonts w:ascii="Arial"/>
          <w:color w:val="000000"/>
          <w:sz w:val="24"/>
        </w:rPr>
        <w:t xml:space="preserve">confirmed that the Contributions Plan </w:t>
      </w:r>
      <w:r>
        <w:rPr>
          <w:rFonts w:ascii="Arial"/>
          <w:color w:val="000000"/>
          <w:sz w:val="24"/>
        </w:rPr>
        <w:t xml:space="preserve">does not </w:t>
      </w:r>
      <w:r>
        <w:rPr>
          <w:rFonts w:ascii="Arial"/>
          <w:color w:val="000000"/>
          <w:sz w:val="24"/>
        </w:rPr>
        <w:t>provide for</w:t>
      </w:r>
      <w:r>
        <w:rPr>
          <w:rFonts w:ascii="Arial"/>
          <w:color w:val="000000"/>
          <w:sz w:val="24"/>
        </w:rPr>
        <w:t xml:space="preserve"> </w:t>
      </w:r>
      <w:r>
        <w:rPr>
          <w:rFonts w:ascii="Arial"/>
          <w:color w:val="000000"/>
          <w:sz w:val="24"/>
        </w:rPr>
        <w:t>any upgrades to the intersections adjacent to St Joseph</w:t>
      </w:r>
      <w:r>
        <w:rPr>
          <w:rFonts w:ascii="Arial"/>
          <w:color w:val="000000"/>
          <w:sz w:val="24"/>
        </w:rPr>
        <w:t>’</w:t>
      </w:r>
      <w:r>
        <w:rPr>
          <w:rFonts w:ascii="Arial"/>
          <w:color w:val="000000"/>
          <w:sz w:val="24"/>
        </w:rPr>
        <w:t>s Primary</w:t>
      </w:r>
      <w:r>
        <w:rPr>
          <w:rFonts w:ascii="Arial"/>
          <w:color w:val="000000"/>
          <w:sz w:val="24"/>
        </w:rPr>
        <w:t xml:space="preserve">, and </w:t>
      </w:r>
      <w:r>
        <w:rPr>
          <w:rFonts w:ascii="Arial"/>
          <w:color w:val="000000"/>
          <w:sz w:val="24"/>
        </w:rPr>
        <w:t>no other Strategic plans for footpath / cycle ways</w:t>
      </w:r>
      <w:r>
        <w:rPr>
          <w:rFonts w:ascii="Arial"/>
          <w:color w:val="000000"/>
          <w:sz w:val="24"/>
        </w:rPr>
        <w:t xml:space="preserve"> </w:t>
      </w:r>
      <w:r>
        <w:rPr>
          <w:rFonts w:ascii="Arial"/>
          <w:color w:val="000000"/>
          <w:sz w:val="24"/>
        </w:rPr>
        <w:t>are endorsed</w:t>
      </w:r>
      <w:r>
        <w:rPr>
          <w:rFonts w:ascii="Arial"/>
          <w:color w:val="000000"/>
          <w:sz w:val="24"/>
        </w:rPr>
        <w:t xml:space="preserve"> </w:t>
      </w:r>
      <w:r>
        <w:rPr>
          <w:rFonts w:ascii="Arial"/>
          <w:color w:val="000000"/>
          <w:sz w:val="24"/>
        </w:rPr>
        <w:t>in this vicinity.</w:t>
      </w:r>
    </w:p>
    <w:p>
      <w:pPr>
        <w:pStyle w:val="CaselawHeading3"/>
        <w:keepNext/>
        <w:spacing w:before="150" w:after="150" w:line="264"/>
        <w:ind w:left="0"/>
        <w:jc w:val="left"/>
      </w:pPr>
      <w:r>
        <w:rPr>
          <w:rFonts w:ascii="Arial"/>
        </w:rPr>
        <w:t xml:space="preserve">Wind study </w:t>
      </w:r>
    </w:p>
    <w:p>
      <w:pPr>
        <w:pStyle w:val="CaselawNumbered10"/>
        <w:numPr>
          <w:ilvl w:val="0"/>
          <w:numId w:val="50"/>
        </w:numPr>
        <w:spacing w:before="150" w:after="0"/>
        <w:ind w:left="600" w:hanging="600"/>
      </w:pPr>
      <w:r>
        <w:rPr>
          <w:rFonts w:ascii="Arial"/>
          <w:color w:val="000000"/>
          <w:sz w:val="24"/>
        </w:rPr>
        <w:t xml:space="preserve">The resident of </w:t>
      </w:r>
      <w:r>
        <w:rPr>
          <w:rFonts w:ascii="Arial"/>
          <w:color w:val="000000"/>
          <w:sz w:val="24"/>
        </w:rPr>
        <w:t>11</w:t>
      </w:r>
      <w:r>
        <w:rPr>
          <w:rFonts w:ascii="Arial"/>
          <w:color w:val="000000"/>
          <w:sz w:val="24"/>
        </w:rPr>
        <w:t>/</w:t>
      </w:r>
      <w:r>
        <w:rPr>
          <w:rFonts w:ascii="Arial"/>
          <w:color w:val="000000"/>
          <w:sz w:val="24"/>
        </w:rPr>
        <w:t>42-44 Thomson Street identified strong winds as feature of the area</w:t>
      </w:r>
      <w:r>
        <w:rPr>
          <w:rFonts w:ascii="Arial"/>
          <w:color w:val="000000"/>
          <w:sz w:val="24"/>
        </w:rPr>
        <w:t>.</w:t>
      </w:r>
    </w:p>
    <w:p>
      <w:pPr>
        <w:pStyle w:val="CaselawNumbered10"/>
        <w:numPr>
          <w:ilvl w:val="0"/>
          <w:numId w:val="50"/>
        </w:numPr>
        <w:spacing w:before="150" w:after="0"/>
        <w:ind w:left="600" w:hanging="600"/>
      </w:pPr>
      <w:r>
        <w:rPr>
          <w:rFonts w:ascii="Arial"/>
          <w:color w:val="000000"/>
          <w:sz w:val="24"/>
        </w:rPr>
        <w:t xml:space="preserve">The Applicant relies upon a Pedestrian Wind </w:t>
      </w:r>
      <w:r>
        <w:rPr>
          <w:rFonts w:ascii="Arial"/>
          <w:color w:val="000000"/>
          <w:sz w:val="24"/>
        </w:rPr>
        <w:t xml:space="preserve">Environment </w:t>
      </w:r>
      <w:r>
        <w:rPr>
          <w:rFonts w:ascii="Arial"/>
          <w:color w:val="000000"/>
          <w:sz w:val="24"/>
        </w:rPr>
        <w:t>Study</w:t>
      </w:r>
      <w:r>
        <w:rPr>
          <w:rFonts w:ascii="Arial"/>
          <w:color w:val="000000"/>
          <w:sz w:val="24"/>
        </w:rPr>
        <w:t xml:space="preserve"> </w:t>
      </w:r>
      <w:r>
        <w:rPr>
          <w:rFonts w:ascii="Arial"/>
          <w:color w:val="000000"/>
          <w:sz w:val="24"/>
        </w:rPr>
        <w:t>(Wind Study)</w:t>
      </w:r>
      <w:r>
        <w:rPr>
          <w:rFonts w:ascii="Arial"/>
          <w:color w:val="000000"/>
          <w:sz w:val="24"/>
        </w:rPr>
        <w:t xml:space="preserve"> </w:t>
      </w:r>
      <w:r>
        <w:rPr>
          <w:rFonts w:ascii="Arial"/>
          <w:color w:val="000000"/>
          <w:sz w:val="24"/>
        </w:rPr>
        <w:t xml:space="preserve">(Exhibit </w:t>
      </w:r>
      <w:r>
        <w:rPr>
          <w:rFonts w:ascii="Arial"/>
          <w:color w:val="000000"/>
          <w:sz w:val="24"/>
        </w:rPr>
        <w:t xml:space="preserve">R), prepared by </w:t>
      </w:r>
      <w:r>
        <w:rPr>
          <w:rFonts w:ascii="Arial"/>
          <w:color w:val="000000"/>
          <w:sz w:val="24"/>
        </w:rPr>
        <w:t>Windtech</w:t>
      </w:r>
      <w:r>
        <w:rPr>
          <w:rFonts w:ascii="Arial"/>
          <w:color w:val="000000"/>
          <w:sz w:val="24"/>
        </w:rPr>
        <w:t xml:space="preserve"> </w:t>
      </w:r>
      <w:r>
        <w:rPr>
          <w:rFonts w:ascii="Arial"/>
          <w:color w:val="000000"/>
          <w:sz w:val="24"/>
        </w:rPr>
        <w:t xml:space="preserve">dated </w:t>
      </w:r>
      <w:r>
        <w:rPr>
          <w:rFonts w:ascii="Arial"/>
          <w:color w:val="000000"/>
          <w:sz w:val="24"/>
        </w:rPr>
        <w:t>15 June 2022</w:t>
      </w:r>
      <w:r>
        <w:rPr>
          <w:rFonts w:ascii="Arial"/>
          <w:color w:val="000000"/>
          <w:sz w:val="24"/>
        </w:rPr>
        <w:t>.</w:t>
      </w:r>
    </w:p>
    <w:p>
      <w:pPr>
        <w:pStyle w:val="CaselawNumbered10"/>
        <w:numPr>
          <w:ilvl w:val="0"/>
          <w:numId w:val="50"/>
        </w:numPr>
        <w:spacing w:before="150" w:after="0"/>
        <w:ind w:left="600" w:hanging="600"/>
      </w:pPr>
      <w:r>
        <w:rPr>
          <w:rFonts w:ascii="Arial"/>
          <w:color w:val="000000"/>
          <w:sz w:val="24"/>
        </w:rPr>
        <w:t xml:space="preserve">The Executive Summary </w:t>
      </w:r>
      <w:r>
        <w:rPr>
          <w:rFonts w:ascii="Arial"/>
          <w:color w:val="000000"/>
          <w:sz w:val="24"/>
        </w:rPr>
        <w:t>notes:</w:t>
      </w:r>
    </w:p>
    <w:p>
      <w:pPr>
        <w:pStyle w:val="CaselawQuote"/>
        <w:spacing w:before="150" w:after="150"/>
        <w:ind w:left="1350"/>
        <w:jc w:val="left"/>
      </w:pPr>
      <w:r>
        <w:rPr>
          <w:rFonts w:ascii="Arial"/>
          <w:color w:val="000000"/>
          <w:sz w:val="22"/>
        </w:rPr>
        <w:t>The</w:t>
      </w:r>
      <w:r>
        <w:rPr>
          <w:rFonts w:ascii="Arial"/>
          <w:color w:val="000000"/>
          <w:sz w:val="22"/>
        </w:rPr>
        <w:t xml:space="preserve"> results of this assessment indicate that the development has incorporated several design features and wind mitigating strategies and is expected to be suitable for the intended use for </w:t>
      </w:r>
      <w:r>
        <w:rPr>
          <w:rFonts w:ascii="Arial"/>
          <w:color w:val="000000"/>
          <w:sz w:val="22"/>
        </w:rPr>
        <w:t>the majority of</w:t>
      </w:r>
      <w:r>
        <w:rPr>
          <w:rFonts w:ascii="Arial"/>
          <w:color w:val="000000"/>
          <w:sz w:val="22"/>
        </w:rPr>
        <w:t xml:space="preserve"> the outdoor trafficable areas.</w:t>
      </w:r>
    </w:p>
    <w:p>
      <w:pPr>
        <w:pStyle w:val="CaselawNumbered10"/>
        <w:numPr>
          <w:ilvl w:val="0"/>
          <w:numId w:val="51"/>
        </w:numPr>
        <w:spacing w:before="150" w:after="0"/>
        <w:ind w:left="600" w:hanging="600"/>
      </w:pPr>
      <w:r>
        <w:rPr>
          <w:rFonts w:ascii="Arial"/>
          <w:color w:val="000000"/>
          <w:sz w:val="24"/>
        </w:rPr>
        <w:t xml:space="preserve">However, </w:t>
      </w:r>
      <w:r>
        <w:rPr>
          <w:rFonts w:ascii="Arial"/>
          <w:color w:val="000000"/>
          <w:sz w:val="24"/>
        </w:rPr>
        <w:t>a number of</w:t>
      </w:r>
      <w:r>
        <w:rPr>
          <w:rFonts w:ascii="Arial"/>
          <w:color w:val="000000"/>
          <w:sz w:val="24"/>
        </w:rPr>
        <w:t xml:space="preserve"> </w:t>
      </w:r>
      <w:r>
        <w:rPr>
          <w:rFonts w:ascii="Arial"/>
          <w:color w:val="000000"/>
          <w:sz w:val="24"/>
        </w:rPr>
        <w:t xml:space="preserve">recommendations contained at Section 5.3 of the Wind Study </w:t>
      </w:r>
      <w:r>
        <w:rPr>
          <w:rFonts w:ascii="Arial"/>
          <w:color w:val="000000"/>
          <w:sz w:val="24"/>
        </w:rPr>
        <w:t>were</w:t>
      </w:r>
      <w:r>
        <w:rPr>
          <w:rFonts w:ascii="Arial"/>
          <w:color w:val="000000"/>
          <w:sz w:val="24"/>
        </w:rPr>
        <w:t xml:space="preserve"> </w:t>
      </w:r>
      <w:r>
        <w:rPr>
          <w:rFonts w:ascii="Arial"/>
          <w:color w:val="000000"/>
          <w:sz w:val="24"/>
        </w:rPr>
        <w:t>not evident on the architectural plans at Exhibit A, including</w:t>
      </w:r>
      <w:r>
        <w:rPr>
          <w:rFonts w:ascii="Arial"/>
          <w:color w:val="000000"/>
          <w:sz w:val="24"/>
        </w:rPr>
        <w:t xml:space="preserve">, </w:t>
      </w:r>
      <w:r>
        <w:rPr>
          <w:rFonts w:ascii="Arial"/>
          <w:color w:val="000000"/>
          <w:sz w:val="24"/>
        </w:rPr>
        <w:t>relevantly</w:t>
      </w:r>
      <w:r>
        <w:rPr>
          <w:rFonts w:ascii="Arial"/>
          <w:color w:val="000000"/>
          <w:sz w:val="24"/>
        </w:rPr>
        <w:t>:</w:t>
      </w:r>
    </w:p>
    <w:p>
      <w:pPr>
        <w:pStyle w:val="CaselawBullet"/>
        <w:numPr>
          <w:ilvl w:val="0"/>
          <w:numId w:val="52"/>
        </w:numPr>
        <w:spacing w:before="150" w:after="0"/>
        <w:ind w:left="600" w:hanging="250"/>
      </w:pPr>
      <w:r>
        <w:rPr>
          <w:rFonts w:ascii="Arial"/>
          <w:color w:val="000000"/>
          <w:sz w:val="24"/>
        </w:rPr>
        <w:t>Ground floor: Inclusion of a 1.2m tall impermeable fencing along the eastern terraces</w:t>
      </w:r>
      <w:r>
        <w:rPr>
          <w:rFonts w:ascii="Arial"/>
          <w:color w:val="000000"/>
          <w:sz w:val="24"/>
        </w:rPr>
        <w:t xml:space="preserve">, a change in intertenancy screens to the southern side of the site, and </w:t>
      </w:r>
      <w:r>
        <w:rPr>
          <w:rFonts w:ascii="Arial"/>
          <w:color w:val="000000"/>
          <w:sz w:val="24"/>
        </w:rPr>
        <w:t>new impermeable awnings to the communal open space to the west of the site.</w:t>
      </w:r>
    </w:p>
    <w:p>
      <w:pPr>
        <w:pStyle w:val="CaselawBullet"/>
        <w:numPr>
          <w:ilvl w:val="0"/>
          <w:numId w:val="52"/>
        </w:numPr>
        <w:spacing w:before="150" w:after="0"/>
        <w:ind w:left="600" w:hanging="250"/>
      </w:pPr>
      <w:r>
        <w:rPr>
          <w:rFonts w:ascii="Arial"/>
          <w:color w:val="000000"/>
          <w:sz w:val="24"/>
        </w:rPr>
        <w:t>Level</w:t>
      </w:r>
      <w:r>
        <w:rPr>
          <w:rFonts w:ascii="Arial"/>
          <w:color w:val="000000"/>
          <w:sz w:val="24"/>
        </w:rPr>
        <w:t>s</w:t>
      </w:r>
      <w:r>
        <w:rPr>
          <w:rFonts w:ascii="Arial"/>
          <w:color w:val="000000"/>
          <w:sz w:val="24"/>
        </w:rPr>
        <w:t xml:space="preserve"> </w:t>
      </w:r>
      <w:r>
        <w:rPr>
          <w:rFonts w:ascii="Arial"/>
          <w:color w:val="000000"/>
          <w:sz w:val="24"/>
        </w:rPr>
        <w:t>2</w:t>
      </w:r>
      <w:r>
        <w:rPr>
          <w:rFonts w:ascii="Arial"/>
          <w:color w:val="000000"/>
          <w:sz w:val="24"/>
        </w:rPr>
        <w:t>-10</w:t>
      </w:r>
      <w:r>
        <w:rPr>
          <w:rFonts w:ascii="Arial"/>
          <w:color w:val="000000"/>
          <w:sz w:val="24"/>
        </w:rPr>
        <w:t xml:space="preserve">: </w:t>
      </w:r>
      <w:r>
        <w:rPr>
          <w:rFonts w:ascii="Arial"/>
          <w:color w:val="000000"/>
          <w:sz w:val="24"/>
        </w:rPr>
        <w:t>Inclusion of 2m tall impermeable balustrades along the eastern edges of the eastern balconies.</w:t>
      </w:r>
    </w:p>
    <w:p>
      <w:pPr>
        <w:pStyle w:val="CaselawBullet"/>
        <w:numPr>
          <w:ilvl w:val="0"/>
          <w:numId w:val="52"/>
        </w:numPr>
        <w:spacing w:before="150" w:after="0"/>
        <w:ind w:left="600" w:hanging="250"/>
      </w:pPr>
      <w:r>
        <w:rPr>
          <w:rFonts w:ascii="Arial"/>
          <w:color w:val="000000"/>
          <w:sz w:val="24"/>
        </w:rPr>
        <w:t>Level 11: Inclusion of 3m tall intertenancy screens along the eastern and western aspect terraces for both towers, and inclusion of 2m tall impermeable balustrades along the perimeter of the terraces for both towers.</w:t>
      </w:r>
    </w:p>
    <w:p>
      <w:pPr>
        <w:pStyle w:val="CaselawNumbered10"/>
        <w:numPr>
          <w:ilvl w:val="0"/>
          <w:numId w:val="53"/>
        </w:numPr>
        <w:spacing w:before="150" w:after="0"/>
        <w:ind w:left="600" w:hanging="600"/>
      </w:pPr>
      <w:r>
        <w:rPr>
          <w:rFonts w:ascii="Arial"/>
          <w:color w:val="000000"/>
          <w:sz w:val="24"/>
        </w:rPr>
        <w:t>As t</w:t>
      </w:r>
      <w:r>
        <w:rPr>
          <w:rFonts w:ascii="Arial"/>
          <w:color w:val="000000"/>
          <w:sz w:val="24"/>
        </w:rPr>
        <w:t xml:space="preserve">he Wind Study </w:t>
      </w:r>
      <w:r>
        <w:rPr>
          <w:rFonts w:ascii="Arial"/>
          <w:color w:val="000000"/>
          <w:sz w:val="24"/>
        </w:rPr>
        <w:t>pre-dates</w:t>
      </w:r>
      <w:r>
        <w:rPr>
          <w:rFonts w:ascii="Arial"/>
          <w:color w:val="000000"/>
          <w:sz w:val="24"/>
        </w:rPr>
        <w:t xml:space="preserve"> </w:t>
      </w:r>
      <w:r>
        <w:rPr>
          <w:rFonts w:ascii="Arial"/>
          <w:color w:val="000000"/>
          <w:sz w:val="24"/>
        </w:rPr>
        <w:t>the architectural plans at Exhibit A</w:t>
      </w:r>
      <w:r>
        <w:rPr>
          <w:rFonts w:ascii="Arial"/>
          <w:color w:val="000000"/>
          <w:sz w:val="24"/>
        </w:rPr>
        <w:t>,</w:t>
      </w:r>
      <w:r>
        <w:rPr>
          <w:rFonts w:ascii="Arial"/>
          <w:color w:val="000000"/>
          <w:sz w:val="24"/>
        </w:rPr>
        <w:t xml:space="preserve"> </w:t>
      </w:r>
      <w:r>
        <w:rPr>
          <w:rFonts w:ascii="Arial"/>
          <w:color w:val="000000"/>
          <w:sz w:val="24"/>
        </w:rPr>
        <w:t xml:space="preserve">the Applicant </w:t>
      </w:r>
      <w:r>
        <w:rPr>
          <w:rFonts w:ascii="Arial"/>
          <w:color w:val="000000"/>
          <w:sz w:val="24"/>
        </w:rPr>
        <w:t>was directed</w:t>
      </w:r>
      <w:r>
        <w:rPr>
          <w:rFonts w:ascii="Arial"/>
          <w:color w:val="000000"/>
          <w:sz w:val="24"/>
        </w:rPr>
        <w:t xml:space="preserve"> </w:t>
      </w:r>
      <w:r>
        <w:rPr>
          <w:rFonts w:ascii="Arial"/>
          <w:color w:val="000000"/>
          <w:sz w:val="24"/>
        </w:rPr>
        <w:t>to</w:t>
      </w:r>
      <w:r>
        <w:rPr>
          <w:rFonts w:ascii="Arial"/>
          <w:color w:val="000000"/>
          <w:sz w:val="24"/>
        </w:rPr>
        <w:t xml:space="preserve"> </w:t>
      </w:r>
      <w:r>
        <w:rPr>
          <w:rFonts w:ascii="Arial"/>
          <w:color w:val="000000"/>
          <w:sz w:val="24"/>
        </w:rPr>
        <w:t xml:space="preserve">advise on whether the development the subject of the development application </w:t>
      </w:r>
      <w:r>
        <w:rPr>
          <w:rFonts w:ascii="Arial"/>
          <w:color w:val="000000"/>
          <w:sz w:val="24"/>
        </w:rPr>
        <w:t>was intended to incorporate the recommendations at [</w:t>
      </w:r>
      <w:hyperlink r:id="rId27">
        <w:r>
          <w:rPr>
            <w:rFonts w:ascii="Arial"/>
            <w:color w:val="000000"/>
            <w:sz w:val="24"/>
            <w:u w:val="single"/>
          </w:rPr>
          <w:t/>
        </w:r>
        <w:r>
          <w:rPr>
            <w:rFonts w:ascii="Arial"/>
            <w:color w:val="000000"/>
            <w:sz w:val="24"/>
          </w:rPr>
          <w:t>64</w:t>
        </w:r>
      </w:hyperlink>
      <w:hyperlink r:id="rId28">
        <w:r>
          <w:rPr>
            <w:rFonts w:ascii="Arial"/>
            <w:color w:val="000000"/>
            <w:sz w:val="24"/>
          </w:rPr>
          <w:t/>
        </w:r>
      </w:hyperlink>
      <w:r>
        <w:rPr>
          <w:rFonts w:ascii="Arial"/>
          <w:color w:val="000000"/>
          <w:sz w:val="24"/>
        </w:rPr>
        <w:t xml:space="preserve">]. </w:t>
      </w:r>
    </w:p>
    <w:p>
      <w:pPr>
        <w:pStyle w:val="CaselawNumbered10"/>
        <w:numPr>
          <w:ilvl w:val="0"/>
          <w:numId w:val="53"/>
        </w:numPr>
        <w:spacing w:before="150" w:after="0"/>
        <w:ind w:left="600" w:hanging="600"/>
      </w:pPr>
      <w:r>
        <w:rPr>
          <w:rFonts w:ascii="Arial"/>
          <w:color w:val="000000"/>
          <w:sz w:val="24"/>
        </w:rPr>
        <w:t xml:space="preserve">On the final day of the hearing, the Applicant provided a Pedestrian Wind Environment Statement </w:t>
      </w:r>
      <w:r>
        <w:rPr>
          <w:rFonts w:ascii="Arial"/>
          <w:color w:val="000000"/>
          <w:sz w:val="24"/>
        </w:rPr>
        <w:t>l</w:t>
      </w:r>
      <w:r>
        <w:rPr>
          <w:rFonts w:ascii="Arial"/>
          <w:color w:val="000000"/>
          <w:sz w:val="24"/>
        </w:rPr>
        <w:t xml:space="preserve">etter prepared by </w:t>
      </w:r>
      <w:r>
        <w:rPr>
          <w:rFonts w:ascii="Arial"/>
          <w:color w:val="000000"/>
          <w:sz w:val="24"/>
        </w:rPr>
        <w:t>Windtech</w:t>
      </w:r>
      <w:r>
        <w:rPr>
          <w:rFonts w:ascii="Arial"/>
          <w:color w:val="000000"/>
          <w:sz w:val="24"/>
        </w:rPr>
        <w:t>, dated 9 September 2022 (Exhibit Z)</w:t>
      </w:r>
      <w:r>
        <w:rPr>
          <w:rFonts w:ascii="Arial"/>
          <w:color w:val="000000"/>
          <w:sz w:val="24"/>
        </w:rPr>
        <w:t xml:space="preserve"> </w:t>
      </w:r>
      <w:r>
        <w:rPr>
          <w:rFonts w:ascii="Arial"/>
          <w:color w:val="000000"/>
          <w:sz w:val="24"/>
        </w:rPr>
        <w:t>reaffirming the recommendations</w:t>
      </w:r>
      <w:r>
        <w:rPr>
          <w:rFonts w:ascii="Arial"/>
          <w:color w:val="000000"/>
          <w:sz w:val="24"/>
        </w:rPr>
        <w:t xml:space="preserve"> </w:t>
      </w:r>
      <w:r>
        <w:rPr>
          <w:rFonts w:ascii="Arial"/>
          <w:color w:val="000000"/>
          <w:sz w:val="24"/>
        </w:rPr>
        <w:t>in the Wind Study</w:t>
      </w:r>
      <w:r>
        <w:rPr>
          <w:rFonts w:ascii="Arial"/>
          <w:color w:val="000000"/>
          <w:sz w:val="24"/>
        </w:rPr>
        <w:t>.</w:t>
      </w:r>
      <w:r>
        <w:rPr>
          <w:rFonts w:ascii="Arial"/>
          <w:color w:val="000000"/>
          <w:sz w:val="24"/>
        </w:rPr>
        <w:t xml:space="preserve"> </w:t>
      </w:r>
    </w:p>
    <w:p>
      <w:pPr>
        <w:pStyle w:val="CaselawNumbered10"/>
        <w:numPr>
          <w:ilvl w:val="0"/>
          <w:numId w:val="53"/>
        </w:numPr>
        <w:spacing w:before="150" w:after="0"/>
        <w:ind w:left="600" w:hanging="600"/>
      </w:pPr>
      <w:r>
        <w:rPr>
          <w:rFonts w:ascii="Arial"/>
          <w:color w:val="000000"/>
          <w:sz w:val="24"/>
        </w:rPr>
        <w:t xml:space="preserve">The Court </w:t>
      </w:r>
      <w:r>
        <w:rPr>
          <w:rFonts w:ascii="Arial"/>
          <w:color w:val="000000"/>
          <w:sz w:val="24"/>
        </w:rPr>
        <w:t xml:space="preserve">granted an adjournment and </w:t>
      </w:r>
      <w:r>
        <w:rPr>
          <w:rFonts w:ascii="Arial"/>
          <w:color w:val="000000"/>
          <w:sz w:val="24"/>
        </w:rPr>
        <w:t xml:space="preserve">directed </w:t>
      </w:r>
      <w:r>
        <w:rPr>
          <w:rFonts w:ascii="Arial"/>
          <w:color w:val="000000"/>
          <w:sz w:val="24"/>
        </w:rPr>
        <w:t>that planning and urban design experts</w:t>
      </w:r>
      <w:r>
        <w:rPr>
          <w:rFonts w:ascii="Arial"/>
          <w:color w:val="000000"/>
          <w:sz w:val="24"/>
        </w:rPr>
        <w:t xml:space="preserve"> </w:t>
      </w:r>
      <w:r>
        <w:rPr>
          <w:rFonts w:ascii="Arial"/>
          <w:color w:val="000000"/>
          <w:sz w:val="24"/>
        </w:rPr>
        <w:t>confer on the</w:t>
      </w:r>
      <w:r>
        <w:rPr>
          <w:rFonts w:ascii="Arial"/>
          <w:color w:val="000000"/>
          <w:sz w:val="24"/>
        </w:rPr>
        <w:t xml:space="preserve"> </w:t>
      </w:r>
      <w:r>
        <w:rPr>
          <w:rFonts w:ascii="Arial"/>
          <w:color w:val="000000"/>
          <w:sz w:val="24"/>
        </w:rPr>
        <w:t>impact of the</w:t>
      </w:r>
      <w:r>
        <w:rPr>
          <w:rFonts w:ascii="Arial"/>
          <w:color w:val="000000"/>
          <w:sz w:val="24"/>
        </w:rPr>
        <w:t xml:space="preserve"> </w:t>
      </w:r>
      <w:r>
        <w:rPr>
          <w:rFonts w:ascii="Arial"/>
          <w:color w:val="000000"/>
          <w:sz w:val="24"/>
        </w:rPr>
        <w:t>recommendations</w:t>
      </w:r>
      <w:r>
        <w:rPr>
          <w:rFonts w:ascii="Arial"/>
          <w:color w:val="000000"/>
          <w:sz w:val="24"/>
        </w:rPr>
        <w:t xml:space="preserve"> </w:t>
      </w:r>
      <w:r>
        <w:rPr>
          <w:rFonts w:ascii="Arial"/>
          <w:color w:val="000000"/>
          <w:sz w:val="24"/>
        </w:rPr>
        <w:t>on the proposal</w:t>
      </w:r>
      <w:r>
        <w:rPr>
          <w:rFonts w:ascii="Arial"/>
          <w:color w:val="000000"/>
          <w:sz w:val="24"/>
        </w:rPr>
        <w:t xml:space="preserve">. </w:t>
      </w:r>
      <w:r>
        <w:rPr>
          <w:rFonts w:ascii="Arial"/>
          <w:color w:val="000000"/>
          <w:sz w:val="24"/>
        </w:rPr>
        <w:t xml:space="preserve">A supplementary joint report was </w:t>
      </w:r>
      <w:r>
        <w:rPr>
          <w:rFonts w:ascii="Arial"/>
          <w:color w:val="000000"/>
          <w:sz w:val="24"/>
        </w:rPr>
        <w:t xml:space="preserve">provided to the Court </w:t>
      </w:r>
      <w:r>
        <w:rPr>
          <w:rFonts w:ascii="Arial"/>
          <w:color w:val="000000"/>
          <w:sz w:val="24"/>
        </w:rPr>
        <w:t xml:space="preserve">late in the day, absent sketches referred to in the joint expert report. </w:t>
      </w:r>
    </w:p>
    <w:p>
      <w:pPr>
        <w:pStyle w:val="CaselawNumbered10"/>
        <w:numPr>
          <w:ilvl w:val="0"/>
          <w:numId w:val="53"/>
        </w:numPr>
        <w:spacing w:before="150" w:after="0"/>
        <w:ind w:left="600" w:hanging="600"/>
      </w:pPr>
      <w:r>
        <w:rPr>
          <w:rFonts w:ascii="Arial"/>
          <w:color w:val="000000"/>
          <w:sz w:val="24"/>
        </w:rPr>
        <w:t>To assist</w:t>
      </w:r>
      <w:r>
        <w:rPr>
          <w:rFonts w:ascii="Arial"/>
          <w:color w:val="000000"/>
          <w:sz w:val="24"/>
        </w:rPr>
        <w:t xml:space="preserve"> </w:t>
      </w:r>
      <w:r>
        <w:rPr>
          <w:rFonts w:ascii="Arial"/>
          <w:color w:val="000000"/>
          <w:sz w:val="24"/>
        </w:rPr>
        <w:t>the Court</w:t>
      </w:r>
      <w:r>
        <w:rPr>
          <w:rFonts w:ascii="Arial"/>
          <w:color w:val="000000"/>
          <w:sz w:val="24"/>
        </w:rPr>
        <w:t>, the experts were called to provide oral evidence in respect of the supplementary report</w:t>
      </w:r>
      <w:r>
        <w:rPr>
          <w:rFonts w:ascii="Arial"/>
          <w:color w:val="000000"/>
          <w:sz w:val="24"/>
        </w:rPr>
        <w:t xml:space="preserve">. The experts agreed the extent and nature of additional screening required by </w:t>
      </w:r>
      <w:r>
        <w:rPr>
          <w:rFonts w:ascii="Arial"/>
          <w:color w:val="000000"/>
          <w:sz w:val="24"/>
        </w:rPr>
        <w:t xml:space="preserve">the Wind </w:t>
      </w:r>
      <w:r>
        <w:rPr>
          <w:rFonts w:ascii="Arial"/>
          <w:color w:val="000000"/>
          <w:sz w:val="24"/>
        </w:rPr>
        <w:t>Study, and</w:t>
      </w:r>
      <w:r>
        <w:rPr>
          <w:rFonts w:ascii="Arial"/>
          <w:color w:val="000000"/>
          <w:sz w:val="24"/>
        </w:rPr>
        <w:t xml:space="preserve"> </w:t>
      </w:r>
      <w:r>
        <w:rPr>
          <w:rFonts w:ascii="Arial"/>
          <w:color w:val="000000"/>
          <w:sz w:val="24"/>
        </w:rPr>
        <w:t>agreed the visual impact on the proposal was acceptable</w:t>
      </w:r>
      <w:r>
        <w:rPr>
          <w:rFonts w:ascii="Arial"/>
          <w:color w:val="000000"/>
          <w:sz w:val="24"/>
        </w:rPr>
        <w:t>, and did not disturb the consensus of the experts that the development as proposed achieves design excellence.</w:t>
      </w:r>
    </w:p>
    <w:p>
      <w:pPr>
        <w:pStyle w:val="CaselawNumbered10"/>
        <w:numPr>
          <w:ilvl w:val="0"/>
          <w:numId w:val="53"/>
        </w:numPr>
        <w:spacing w:before="150" w:after="0"/>
        <w:ind w:left="600" w:hanging="600"/>
      </w:pPr>
      <w:r>
        <w:rPr>
          <w:rFonts w:ascii="Arial"/>
          <w:color w:val="000000"/>
          <w:sz w:val="24"/>
        </w:rPr>
        <w:t>A condition of consent is proposed</w:t>
      </w:r>
      <w:r>
        <w:rPr>
          <w:rFonts w:ascii="Arial"/>
          <w:color w:val="000000"/>
          <w:sz w:val="24"/>
        </w:rPr>
        <w:t xml:space="preserve"> </w:t>
      </w:r>
      <w:r>
        <w:rPr>
          <w:rFonts w:ascii="Arial"/>
          <w:color w:val="000000"/>
          <w:sz w:val="24"/>
        </w:rPr>
        <w:t>to require the recommendations so agreed to be incorporated</w:t>
      </w:r>
      <w:r>
        <w:rPr>
          <w:rFonts w:ascii="Arial"/>
          <w:color w:val="000000"/>
          <w:sz w:val="24"/>
        </w:rPr>
        <w:t xml:space="preserve"> </w:t>
      </w:r>
      <w:r>
        <w:rPr>
          <w:rFonts w:ascii="Arial"/>
          <w:color w:val="000000"/>
          <w:sz w:val="24"/>
        </w:rPr>
        <w:t>into the plans for the Construction Certificate</w:t>
      </w:r>
      <w:r>
        <w:rPr>
          <w:rFonts w:ascii="Arial"/>
          <w:color w:val="000000"/>
          <w:sz w:val="24"/>
        </w:rPr>
        <w:t>.</w:t>
      </w:r>
    </w:p>
    <w:p>
      <w:pPr>
        <w:pStyle w:val="CaselawHeading3"/>
        <w:keepNext/>
        <w:spacing w:before="150" w:after="150" w:line="264"/>
        <w:ind w:left="0"/>
        <w:jc w:val="left"/>
      </w:pPr>
      <w:r>
        <w:rPr>
          <w:rFonts w:ascii="Arial"/>
        </w:rPr>
        <w:t>Construction impacts</w:t>
      </w:r>
    </w:p>
    <w:p>
      <w:pPr>
        <w:pStyle w:val="CaselawNumbered10"/>
        <w:numPr>
          <w:ilvl w:val="0"/>
          <w:numId w:val="54"/>
        </w:numPr>
        <w:spacing w:before="150" w:after="0"/>
        <w:ind w:left="600" w:hanging="600"/>
      </w:pPr>
      <w:r>
        <w:rPr>
          <w:rFonts w:ascii="Arial"/>
          <w:color w:val="000000"/>
          <w:sz w:val="24"/>
        </w:rPr>
        <w:t xml:space="preserve">A resident expressed concern at the </w:t>
      </w:r>
      <w:r>
        <w:rPr>
          <w:rFonts w:ascii="Arial"/>
          <w:color w:val="000000"/>
          <w:sz w:val="24"/>
        </w:rPr>
        <w:t>obstacle posed by skip bins to traffic during construction. I note architectural drawing</w:t>
      </w:r>
      <w:r>
        <w:rPr>
          <w:rFonts w:ascii="Arial"/>
          <w:color w:val="000000"/>
          <w:sz w:val="24"/>
        </w:rPr>
        <w:t xml:space="preserve"> </w:t>
      </w:r>
      <w:r>
        <w:rPr>
          <w:rFonts w:ascii="Arial"/>
          <w:color w:val="000000"/>
          <w:sz w:val="24"/>
        </w:rPr>
        <w:t xml:space="preserve">A431 depicts the Construction </w:t>
      </w:r>
      <w:r>
        <w:rPr>
          <w:rFonts w:ascii="Arial"/>
          <w:color w:val="000000"/>
          <w:sz w:val="24"/>
        </w:rPr>
        <w:t xml:space="preserve">Waste Management Plan (CWMP), re-produced in part below. </w:t>
      </w:r>
    </w:p>
    <w:p>
      <w:pPr>
        <w:pStyle w:val="CaselawNormal"/>
        <w:spacing w:before="150" w:after="150"/>
        <w:ind w:left="600"/>
        <w:jc w:val="left"/>
      </w:pPr>
      <w:r>
        <w:drawing>
          <wp:inline distT="0" distB="0" distL="0" distR="0">
            <wp:extent cx="49149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14900" cy="4000500"/>
                    </a:xfrm>
                    <a:prstGeom prst="rect">
                      <a:avLst/>
                    </a:prstGeom>
                  </pic:spPr>
                </pic:pic>
              </a:graphicData>
            </a:graphic>
          </wp:inline>
        </w:drawing>
      </w:r>
    </w:p>
    <w:p>
      <w:pPr>
        <w:pStyle w:val="CaselawNumbered10"/>
        <w:numPr>
          <w:ilvl w:val="0"/>
          <w:numId w:val="55"/>
        </w:numPr>
        <w:spacing w:before="150" w:after="0"/>
        <w:ind w:left="600" w:hanging="600"/>
      </w:pPr>
      <w:r>
        <w:rPr>
          <w:rFonts w:ascii="Arial"/>
          <w:color w:val="000000"/>
          <w:sz w:val="24"/>
        </w:rPr>
        <w:t xml:space="preserve">The CWMP </w:t>
      </w:r>
      <w:r>
        <w:rPr>
          <w:rFonts w:ascii="Arial"/>
          <w:color w:val="000000"/>
          <w:sz w:val="24"/>
        </w:rPr>
        <w:t>shows all amenities relied on during construction are located within the site</w:t>
      </w:r>
      <w:r>
        <w:rPr>
          <w:rFonts w:ascii="Arial"/>
          <w:color w:val="000000"/>
          <w:sz w:val="24"/>
        </w:rPr>
        <w:t>, including Material stockpiles</w:t>
      </w:r>
      <w:r>
        <w:rPr>
          <w:rFonts w:ascii="Arial"/>
          <w:color w:val="000000"/>
          <w:sz w:val="24"/>
        </w:rPr>
        <w:t xml:space="preserve">, bulk </w:t>
      </w:r>
      <w:r>
        <w:rPr>
          <w:rFonts w:ascii="Arial"/>
          <w:color w:val="000000"/>
          <w:sz w:val="24"/>
        </w:rPr>
        <w:t>waste</w:t>
      </w:r>
      <w:r>
        <w:rPr>
          <w:rFonts w:ascii="Arial"/>
          <w:color w:val="000000"/>
          <w:sz w:val="24"/>
        </w:rPr>
        <w:t xml:space="preserve"> </w:t>
      </w:r>
      <w:r>
        <w:rPr>
          <w:rFonts w:ascii="Arial"/>
          <w:color w:val="000000"/>
          <w:sz w:val="24"/>
        </w:rPr>
        <w:t>and the like.</w:t>
      </w:r>
    </w:p>
    <w:p>
      <w:pPr>
        <w:pStyle w:val="CaselawNumbered10"/>
        <w:numPr>
          <w:ilvl w:val="0"/>
          <w:numId w:val="55"/>
        </w:numPr>
        <w:spacing w:before="150" w:after="0"/>
        <w:ind w:left="600" w:hanging="600"/>
      </w:pPr>
      <w:r>
        <w:rPr>
          <w:rFonts w:ascii="Arial"/>
          <w:color w:val="000000"/>
          <w:sz w:val="24"/>
        </w:rPr>
        <w:t>The written submission of Mr Stevenson dated 24 August 2022 (Ex 2, folios</w:t>
      </w:r>
      <w:r>
        <w:rPr>
          <w:rFonts w:ascii="Arial"/>
          <w:color w:val="000000"/>
          <w:sz w:val="24"/>
        </w:rPr>
        <w:t>147-148) identifies a depth and volume of excavat</w:t>
      </w:r>
      <w:r>
        <w:rPr>
          <w:rFonts w:ascii="Arial"/>
          <w:color w:val="000000"/>
          <w:sz w:val="24"/>
        </w:rPr>
        <w:t>ed material required to be removed from the site,</w:t>
      </w:r>
      <w:r>
        <w:rPr>
          <w:rFonts w:ascii="Arial"/>
          <w:color w:val="000000"/>
          <w:sz w:val="24"/>
        </w:rPr>
        <w:t xml:space="preserve"> </w:t>
      </w:r>
      <w:r>
        <w:rPr>
          <w:rFonts w:ascii="Arial"/>
          <w:color w:val="000000"/>
          <w:sz w:val="24"/>
        </w:rPr>
        <w:t>leading to</w:t>
      </w:r>
      <w:r>
        <w:rPr>
          <w:rFonts w:ascii="Arial"/>
          <w:color w:val="000000"/>
          <w:sz w:val="24"/>
        </w:rPr>
        <w:t xml:space="preserve"> </w:t>
      </w:r>
      <w:r>
        <w:rPr>
          <w:rFonts w:ascii="Arial"/>
          <w:color w:val="000000"/>
          <w:sz w:val="24"/>
        </w:rPr>
        <w:t xml:space="preserve">the possible dewatering of the site during construction </w:t>
      </w:r>
      <w:r>
        <w:rPr>
          <w:rFonts w:ascii="Arial"/>
          <w:color w:val="000000"/>
          <w:sz w:val="24"/>
        </w:rPr>
        <w:t xml:space="preserve">that could de-stabilise adjoining properties, </w:t>
      </w:r>
      <w:r>
        <w:rPr>
          <w:rFonts w:ascii="Arial"/>
          <w:color w:val="000000"/>
          <w:sz w:val="24"/>
        </w:rPr>
        <w:t xml:space="preserve">and uncertainty about the level of detail </w:t>
      </w:r>
      <w:r>
        <w:rPr>
          <w:rFonts w:ascii="Arial"/>
          <w:color w:val="000000"/>
          <w:sz w:val="24"/>
        </w:rPr>
        <w:t>contained in the geotechnical investigation completed by the Applicant.</w:t>
      </w:r>
    </w:p>
    <w:p>
      <w:pPr>
        <w:pStyle w:val="CaselawNumbered10"/>
        <w:numPr>
          <w:ilvl w:val="0"/>
          <w:numId w:val="55"/>
        </w:numPr>
        <w:spacing w:before="150" w:after="0"/>
        <w:ind w:left="600" w:hanging="600"/>
      </w:pPr>
      <w:r>
        <w:rPr>
          <w:rFonts w:ascii="Arial"/>
          <w:color w:val="000000"/>
          <w:sz w:val="24"/>
        </w:rPr>
        <w:t xml:space="preserve">The </w:t>
      </w:r>
      <w:r>
        <w:rPr>
          <w:rFonts w:ascii="Arial"/>
          <w:color w:val="000000"/>
          <w:sz w:val="24"/>
        </w:rPr>
        <w:t>Geotechnical Investigation prepared by EI</w:t>
      </w:r>
      <w:r>
        <w:rPr>
          <w:rFonts w:ascii="Arial"/>
          <w:color w:val="000000"/>
          <w:sz w:val="24"/>
        </w:rPr>
        <w:t xml:space="preserve"> </w:t>
      </w:r>
      <w:r>
        <w:rPr>
          <w:rFonts w:ascii="Arial"/>
          <w:color w:val="000000"/>
          <w:sz w:val="24"/>
        </w:rPr>
        <w:t xml:space="preserve">Australia dated 13 September 2021 </w:t>
      </w:r>
      <w:r>
        <w:rPr>
          <w:rFonts w:ascii="Arial"/>
          <w:color w:val="000000"/>
          <w:sz w:val="24"/>
        </w:rPr>
        <w:t xml:space="preserve">(Exhibit H) </w:t>
      </w:r>
      <w:r>
        <w:rPr>
          <w:rFonts w:ascii="Arial"/>
          <w:color w:val="000000"/>
          <w:sz w:val="24"/>
        </w:rPr>
        <w:t>recommended additional investigation</w:t>
      </w:r>
      <w:r>
        <w:rPr>
          <w:rFonts w:ascii="Arial"/>
          <w:color w:val="000000"/>
          <w:sz w:val="24"/>
        </w:rPr>
        <w:t xml:space="preserve"> </w:t>
      </w:r>
      <w:r>
        <w:rPr>
          <w:rFonts w:ascii="Arial"/>
          <w:color w:val="000000"/>
          <w:sz w:val="24"/>
        </w:rPr>
        <w:t>be undertaken</w:t>
      </w:r>
      <w:r>
        <w:rPr>
          <w:rFonts w:ascii="Arial"/>
          <w:color w:val="000000"/>
          <w:sz w:val="24"/>
        </w:rPr>
        <w:t xml:space="preserve"> </w:t>
      </w:r>
      <w:r>
        <w:rPr>
          <w:rFonts w:ascii="Arial"/>
          <w:color w:val="000000"/>
          <w:sz w:val="24"/>
        </w:rPr>
        <w:t>in respect of site conditions, and proposed construction methods</w:t>
      </w:r>
      <w:r>
        <w:rPr>
          <w:rFonts w:ascii="Arial"/>
          <w:color w:val="000000"/>
          <w:sz w:val="24"/>
        </w:rPr>
        <w:t>.</w:t>
      </w:r>
    </w:p>
    <w:p>
      <w:pPr>
        <w:pStyle w:val="CaselawNumbered10"/>
        <w:numPr>
          <w:ilvl w:val="0"/>
          <w:numId w:val="55"/>
        </w:numPr>
        <w:spacing w:before="150" w:after="0"/>
        <w:ind w:left="600" w:hanging="600"/>
      </w:pPr>
      <w:r>
        <w:rPr>
          <w:rFonts w:ascii="Arial"/>
          <w:color w:val="000000"/>
          <w:sz w:val="24"/>
        </w:rPr>
        <w:t>The</w:t>
      </w:r>
      <w:r>
        <w:rPr>
          <w:rFonts w:ascii="Arial"/>
          <w:color w:val="000000"/>
          <w:sz w:val="24"/>
        </w:rPr>
        <w:t xml:space="preserve"> </w:t>
      </w:r>
      <w:r>
        <w:rPr>
          <w:rFonts w:ascii="Arial"/>
          <w:color w:val="000000"/>
          <w:sz w:val="24"/>
        </w:rPr>
        <w:t xml:space="preserve">joint expert report prepared by the </w:t>
      </w:r>
      <w:r>
        <w:rPr>
          <w:rFonts w:ascii="Arial"/>
          <w:color w:val="000000"/>
          <w:sz w:val="24"/>
        </w:rPr>
        <w:t xml:space="preserve">Geotechnical </w:t>
      </w:r>
      <w:r>
        <w:rPr>
          <w:rFonts w:ascii="Arial"/>
          <w:color w:val="000000"/>
          <w:sz w:val="24"/>
        </w:rPr>
        <w:t xml:space="preserve">experts </w:t>
      </w:r>
      <w:r>
        <w:rPr>
          <w:rFonts w:ascii="Arial"/>
          <w:color w:val="000000"/>
          <w:sz w:val="24"/>
        </w:rPr>
        <w:t xml:space="preserve">(Exhibit </w:t>
      </w:r>
      <w:r>
        <w:rPr>
          <w:rFonts w:ascii="Arial"/>
          <w:color w:val="000000"/>
          <w:sz w:val="24"/>
        </w:rPr>
        <w:t xml:space="preserve">4) </w:t>
      </w:r>
      <w:r>
        <w:rPr>
          <w:rFonts w:ascii="Arial"/>
          <w:color w:val="000000"/>
          <w:sz w:val="24"/>
        </w:rPr>
        <w:t xml:space="preserve">agreed that further information was required in respect of geotechnical and groundwater issues. </w:t>
      </w:r>
    </w:p>
    <w:p>
      <w:pPr>
        <w:pStyle w:val="CaselawNumbered10"/>
        <w:numPr>
          <w:ilvl w:val="0"/>
          <w:numId w:val="55"/>
        </w:numPr>
        <w:spacing w:before="150" w:after="0"/>
        <w:ind w:left="600" w:hanging="600"/>
      </w:pPr>
      <w:r>
        <w:rPr>
          <w:rFonts w:ascii="Arial"/>
          <w:color w:val="000000"/>
          <w:sz w:val="24"/>
        </w:rPr>
        <w:t xml:space="preserve">A </w:t>
      </w:r>
      <w:r>
        <w:rPr>
          <w:rFonts w:ascii="Arial"/>
          <w:color w:val="000000"/>
          <w:sz w:val="24"/>
        </w:rPr>
        <w:t>Structural</w:t>
      </w:r>
      <w:r>
        <w:rPr>
          <w:rFonts w:ascii="Arial"/>
          <w:color w:val="000000"/>
          <w:sz w:val="24"/>
        </w:rPr>
        <w:t xml:space="preserve"> </w:t>
      </w:r>
      <w:r>
        <w:rPr>
          <w:rFonts w:ascii="Arial"/>
          <w:color w:val="000000"/>
          <w:sz w:val="24"/>
        </w:rPr>
        <w:t xml:space="preserve">Design Review, undertaken by ACSES Engineers (Exhibit </w:t>
      </w:r>
      <w:r>
        <w:rPr>
          <w:rFonts w:ascii="Arial"/>
          <w:color w:val="000000"/>
          <w:sz w:val="24"/>
        </w:rPr>
        <w:t>C,</w:t>
      </w:r>
      <w:r>
        <w:rPr>
          <w:rFonts w:ascii="Arial"/>
          <w:color w:val="000000"/>
          <w:sz w:val="24"/>
        </w:rPr>
        <w:t xml:space="preserve"> </w:t>
      </w:r>
      <w:r>
        <w:rPr>
          <w:rFonts w:ascii="Arial"/>
          <w:color w:val="000000"/>
          <w:sz w:val="24"/>
        </w:rPr>
        <w:t>tab 2)</w:t>
      </w:r>
      <w:r>
        <w:rPr>
          <w:rFonts w:ascii="Arial"/>
          <w:color w:val="000000"/>
          <w:sz w:val="24"/>
        </w:rPr>
        <w:t xml:space="preserve"> </w:t>
      </w:r>
      <w:r>
        <w:rPr>
          <w:rFonts w:ascii="Arial"/>
          <w:color w:val="000000"/>
          <w:sz w:val="24"/>
        </w:rPr>
        <w:t>considers</w:t>
      </w:r>
      <w:r>
        <w:rPr>
          <w:rFonts w:ascii="Arial"/>
          <w:color w:val="000000"/>
          <w:sz w:val="24"/>
        </w:rPr>
        <w:t xml:space="preserve"> </w:t>
      </w:r>
      <w:r>
        <w:rPr>
          <w:rFonts w:ascii="Arial"/>
          <w:color w:val="000000"/>
          <w:sz w:val="24"/>
        </w:rPr>
        <w:t xml:space="preserve">a laterally braced Secant Pile Wall </w:t>
      </w:r>
      <w:r>
        <w:rPr>
          <w:rFonts w:ascii="Arial"/>
          <w:color w:val="000000"/>
          <w:sz w:val="24"/>
        </w:rPr>
        <w:t xml:space="preserve">as the </w:t>
      </w:r>
      <w:r>
        <w:rPr>
          <w:rFonts w:ascii="Arial"/>
          <w:color w:val="000000"/>
          <w:sz w:val="24"/>
        </w:rPr>
        <w:t>appropriate</w:t>
      </w:r>
      <w:r>
        <w:rPr>
          <w:rFonts w:ascii="Arial"/>
          <w:color w:val="000000"/>
          <w:sz w:val="24"/>
        </w:rPr>
        <w:t xml:space="preserve"> </w:t>
      </w:r>
      <w:r>
        <w:rPr>
          <w:rFonts w:ascii="Arial"/>
          <w:color w:val="000000"/>
          <w:sz w:val="24"/>
        </w:rPr>
        <w:t>method of shoring during excavation</w:t>
      </w:r>
      <w:r>
        <w:rPr>
          <w:rFonts w:ascii="Arial"/>
          <w:color w:val="000000"/>
          <w:sz w:val="24"/>
        </w:rPr>
        <w:t>, comprising 600mm diameter piles.</w:t>
      </w:r>
    </w:p>
    <w:p>
      <w:pPr>
        <w:pStyle w:val="CaselawNumbered10"/>
        <w:numPr>
          <w:ilvl w:val="0"/>
          <w:numId w:val="55"/>
        </w:numPr>
        <w:spacing w:before="150" w:after="0"/>
        <w:ind w:left="600" w:hanging="600"/>
      </w:pPr>
      <w:r>
        <w:rPr>
          <w:rFonts w:ascii="Arial"/>
          <w:color w:val="000000"/>
          <w:sz w:val="24"/>
        </w:rPr>
        <w:t>A Hydrogeological assessment, prepared by EI Australia, dated 31 August 2022</w:t>
      </w:r>
      <w:r>
        <w:rPr>
          <w:rFonts w:ascii="Arial"/>
          <w:color w:val="000000"/>
          <w:sz w:val="24"/>
        </w:rPr>
        <w:t xml:space="preserve"> </w:t>
      </w:r>
      <w:r>
        <w:rPr>
          <w:rFonts w:ascii="Arial"/>
          <w:color w:val="000000"/>
          <w:sz w:val="24"/>
        </w:rPr>
        <w:t xml:space="preserve">(Exhibit C, Tab 3) </w:t>
      </w:r>
      <w:r>
        <w:rPr>
          <w:rFonts w:ascii="Arial"/>
          <w:color w:val="000000"/>
          <w:sz w:val="24"/>
        </w:rPr>
        <w:t>assessed subsurface conditions, permeability of residual soil</w:t>
      </w:r>
      <w:r>
        <w:rPr>
          <w:rFonts w:ascii="Arial"/>
          <w:color w:val="000000"/>
          <w:sz w:val="24"/>
        </w:rPr>
        <w:t xml:space="preserve">, </w:t>
      </w:r>
      <w:r>
        <w:rPr>
          <w:rFonts w:ascii="Arial"/>
          <w:color w:val="000000"/>
          <w:sz w:val="24"/>
        </w:rPr>
        <w:t>groundwater</w:t>
      </w:r>
      <w:r>
        <w:rPr>
          <w:rFonts w:ascii="Arial"/>
          <w:color w:val="000000"/>
          <w:sz w:val="24"/>
        </w:rPr>
        <w:t xml:space="preserve"> </w:t>
      </w:r>
      <w:r>
        <w:rPr>
          <w:rFonts w:ascii="Arial"/>
          <w:color w:val="000000"/>
          <w:sz w:val="24"/>
        </w:rPr>
        <w:t>and the proposed method of shoring on the site during excavation</w:t>
      </w:r>
      <w:r>
        <w:rPr>
          <w:rFonts w:ascii="Arial"/>
          <w:color w:val="000000"/>
          <w:sz w:val="24"/>
        </w:rPr>
        <w:t>.</w:t>
      </w:r>
      <w:r>
        <w:rPr>
          <w:rFonts w:ascii="Arial"/>
          <w:color w:val="000000"/>
          <w:sz w:val="24"/>
        </w:rPr>
        <w:t xml:space="preserve"> </w:t>
      </w:r>
      <w:r>
        <w:rPr>
          <w:rFonts w:ascii="Arial"/>
          <w:color w:val="000000"/>
          <w:sz w:val="24"/>
        </w:rPr>
        <w:t xml:space="preserve">The </w:t>
      </w:r>
      <w:r>
        <w:rPr>
          <w:rFonts w:ascii="Arial"/>
          <w:color w:val="000000"/>
          <w:sz w:val="24"/>
        </w:rPr>
        <w:t>predicted groundwat</w:t>
      </w:r>
      <w:r>
        <w:rPr>
          <w:rFonts w:ascii="Arial"/>
          <w:color w:val="000000"/>
          <w:sz w:val="24"/>
        </w:rPr>
        <w:t xml:space="preserve">er drawdown and settlement during dewatering is between 1.7mm and </w:t>
      </w:r>
      <w:r>
        <w:rPr>
          <w:rFonts w:ascii="Arial"/>
          <w:color w:val="000000"/>
          <w:sz w:val="24"/>
        </w:rPr>
        <w:t xml:space="preserve">3.6mm, which is </w:t>
      </w:r>
      <w:r>
        <w:rPr>
          <w:rFonts w:ascii="Arial"/>
          <w:color w:val="000000"/>
          <w:sz w:val="24"/>
        </w:rPr>
        <w:t xml:space="preserve">considered negligible and will not adversely affect neighbouring properties (p </w:t>
      </w:r>
      <w:r>
        <w:rPr>
          <w:rFonts w:ascii="Arial"/>
          <w:color w:val="000000"/>
          <w:sz w:val="24"/>
        </w:rPr>
        <w:t>8)</w:t>
      </w:r>
      <w:r>
        <w:rPr>
          <w:rFonts w:ascii="Arial"/>
          <w:color w:val="000000"/>
          <w:sz w:val="24"/>
        </w:rPr>
        <w:t xml:space="preserve">. </w:t>
      </w:r>
    </w:p>
    <w:p>
      <w:pPr>
        <w:pStyle w:val="CaselawNumbered10"/>
        <w:numPr>
          <w:ilvl w:val="0"/>
          <w:numId w:val="55"/>
        </w:numPr>
        <w:spacing w:before="150" w:after="0"/>
        <w:ind w:left="600" w:hanging="600"/>
      </w:pPr>
      <w:r>
        <w:rPr>
          <w:rFonts w:ascii="Arial"/>
          <w:color w:val="000000"/>
          <w:sz w:val="24"/>
        </w:rPr>
        <w:t xml:space="preserve">The </w:t>
      </w:r>
      <w:r>
        <w:rPr>
          <w:rFonts w:ascii="Arial"/>
          <w:color w:val="000000"/>
          <w:sz w:val="24"/>
        </w:rPr>
        <w:t>Dewatering</w:t>
      </w:r>
      <w:r>
        <w:rPr>
          <w:rFonts w:ascii="Arial"/>
          <w:color w:val="000000"/>
          <w:sz w:val="24"/>
        </w:rPr>
        <w:t xml:space="preserve"> </w:t>
      </w:r>
      <w:r>
        <w:rPr>
          <w:rFonts w:ascii="Arial"/>
          <w:color w:val="000000"/>
          <w:sz w:val="24"/>
        </w:rPr>
        <w:t xml:space="preserve">Management </w:t>
      </w:r>
      <w:r>
        <w:rPr>
          <w:rFonts w:ascii="Arial"/>
          <w:color w:val="000000"/>
          <w:sz w:val="24"/>
        </w:rPr>
        <w:t xml:space="preserve">Plan prepared by </w:t>
      </w:r>
      <w:r>
        <w:rPr>
          <w:rFonts w:ascii="Arial"/>
          <w:color w:val="000000"/>
          <w:sz w:val="24"/>
        </w:rPr>
        <w:t>EI Australia</w:t>
      </w:r>
      <w:r>
        <w:rPr>
          <w:rFonts w:ascii="Arial"/>
          <w:color w:val="000000"/>
          <w:sz w:val="24"/>
        </w:rPr>
        <w:t xml:space="preserve"> </w:t>
      </w:r>
      <w:r>
        <w:rPr>
          <w:rFonts w:ascii="Arial"/>
          <w:color w:val="000000"/>
          <w:sz w:val="24"/>
        </w:rPr>
        <w:t xml:space="preserve">dated </w:t>
      </w:r>
      <w:r>
        <w:rPr>
          <w:rFonts w:ascii="Arial"/>
          <w:color w:val="000000"/>
          <w:sz w:val="24"/>
        </w:rPr>
        <w:t>16 June 2022</w:t>
      </w:r>
      <w:r>
        <w:rPr>
          <w:rFonts w:ascii="Arial"/>
          <w:color w:val="000000"/>
          <w:sz w:val="24"/>
        </w:rPr>
        <w:t xml:space="preserve"> </w:t>
      </w:r>
      <w:r>
        <w:rPr>
          <w:rFonts w:ascii="Arial"/>
          <w:color w:val="000000"/>
          <w:sz w:val="24"/>
        </w:rPr>
        <w:t>(Exhibit V)</w:t>
      </w:r>
      <w:r>
        <w:rPr>
          <w:rFonts w:ascii="Arial"/>
          <w:color w:val="000000"/>
          <w:sz w:val="24"/>
        </w:rPr>
        <w:t xml:space="preserve"> </w:t>
      </w:r>
      <w:r>
        <w:rPr>
          <w:rFonts w:ascii="Arial"/>
          <w:color w:val="000000"/>
          <w:sz w:val="24"/>
        </w:rPr>
        <w:t>states the basement will be fully tanked</w:t>
      </w:r>
      <w:r>
        <w:rPr>
          <w:rFonts w:ascii="Arial"/>
          <w:color w:val="000000"/>
          <w:sz w:val="24"/>
        </w:rPr>
        <w:t xml:space="preserve"> </w:t>
      </w:r>
      <w:r>
        <w:rPr>
          <w:rFonts w:ascii="Arial"/>
          <w:color w:val="000000"/>
          <w:sz w:val="24"/>
        </w:rPr>
        <w:t>and permanent dewatering will not be required</w:t>
      </w:r>
      <w:r>
        <w:rPr>
          <w:rFonts w:ascii="Arial"/>
          <w:color w:val="000000"/>
          <w:sz w:val="24"/>
        </w:rPr>
        <w:t>;</w:t>
      </w:r>
      <w:r>
        <w:rPr>
          <w:rFonts w:ascii="Arial"/>
          <w:color w:val="000000"/>
          <w:sz w:val="24"/>
        </w:rPr>
        <w:t xml:space="preserve"> </w:t>
      </w:r>
      <w:r>
        <w:rPr>
          <w:rFonts w:ascii="Arial"/>
          <w:color w:val="000000"/>
          <w:sz w:val="24"/>
        </w:rPr>
        <w:t xml:space="preserve">that </w:t>
      </w:r>
      <w:r>
        <w:rPr>
          <w:rFonts w:ascii="Arial"/>
          <w:color w:val="000000"/>
          <w:sz w:val="24"/>
        </w:rPr>
        <w:t>groundwater should be discharged into a vessel, and</w:t>
      </w:r>
      <w:r>
        <w:rPr>
          <w:rFonts w:ascii="Arial"/>
          <w:color w:val="000000"/>
          <w:sz w:val="24"/>
        </w:rPr>
        <w:t xml:space="preserve"> </w:t>
      </w:r>
      <w:r>
        <w:rPr>
          <w:rFonts w:ascii="Arial"/>
          <w:color w:val="000000"/>
          <w:sz w:val="24"/>
        </w:rPr>
        <w:t>that</w:t>
      </w:r>
      <w:r>
        <w:rPr>
          <w:rFonts w:ascii="Arial"/>
          <w:color w:val="000000"/>
          <w:sz w:val="24"/>
        </w:rPr>
        <w:t xml:space="preserve"> </w:t>
      </w:r>
      <w:r>
        <w:rPr>
          <w:rFonts w:ascii="Arial"/>
          <w:color w:val="000000"/>
          <w:sz w:val="24"/>
        </w:rPr>
        <w:t>any water discharged in</w:t>
      </w:r>
      <w:r>
        <w:rPr>
          <w:rFonts w:ascii="Arial"/>
          <w:color w:val="000000"/>
          <w:sz w:val="24"/>
        </w:rPr>
        <w:t>to</w:t>
      </w:r>
      <w:r>
        <w:rPr>
          <w:rFonts w:ascii="Arial"/>
          <w:color w:val="000000"/>
          <w:sz w:val="24"/>
        </w:rPr>
        <w:t xml:space="preserve"> </w:t>
      </w:r>
      <w:r>
        <w:rPr>
          <w:rFonts w:ascii="Arial"/>
          <w:color w:val="000000"/>
          <w:sz w:val="24"/>
        </w:rPr>
        <w:t xml:space="preserve">the local stormwater system must be monitored by flow meter. </w:t>
      </w:r>
      <w:r>
        <w:rPr>
          <w:rFonts w:ascii="Arial"/>
          <w:color w:val="000000"/>
          <w:sz w:val="24"/>
        </w:rPr>
        <w:t xml:space="preserve">Groundwater dewatering is to be undertaken consistent with the </w:t>
      </w:r>
      <w:r>
        <w:rPr>
          <w:rFonts w:ascii="Arial"/>
          <w:color w:val="000000"/>
          <w:sz w:val="24"/>
        </w:rPr>
        <w:t>Dewatering Management Plan, by operation of Condition 112 of the conditions of consent.</w:t>
      </w:r>
    </w:p>
    <w:p>
      <w:pPr>
        <w:pStyle w:val="CaselawHeading3"/>
        <w:keepNext/>
        <w:spacing w:before="150" w:after="150" w:line="264"/>
        <w:ind w:left="0"/>
        <w:jc w:val="left"/>
      </w:pPr>
      <w:r>
        <w:rPr>
          <w:rFonts w:ascii="Arial"/>
        </w:rPr>
        <w:t>Flooding</w:t>
      </w:r>
    </w:p>
    <w:p>
      <w:pPr>
        <w:pStyle w:val="CaselawNumbered10"/>
        <w:numPr>
          <w:ilvl w:val="0"/>
          <w:numId w:val="56"/>
        </w:numPr>
        <w:spacing w:before="150" w:after="0"/>
        <w:ind w:left="600" w:hanging="600"/>
      </w:pPr>
      <w:r>
        <w:rPr>
          <w:rFonts w:ascii="Arial"/>
          <w:color w:val="000000"/>
          <w:sz w:val="24"/>
        </w:rPr>
        <w:t xml:space="preserve">A resident of No 18 Pearl Street referred to past flooding events </w:t>
      </w:r>
      <w:r>
        <w:rPr>
          <w:rFonts w:ascii="Arial"/>
          <w:color w:val="000000"/>
          <w:sz w:val="24"/>
        </w:rPr>
        <w:t xml:space="preserve">as the basis of concern for flooding in the vicinity. </w:t>
      </w:r>
      <w:r>
        <w:rPr>
          <w:rFonts w:ascii="Arial"/>
          <w:color w:val="000000"/>
          <w:sz w:val="24"/>
        </w:rPr>
        <w:t xml:space="preserve">The site is not </w:t>
      </w:r>
      <w:r>
        <w:rPr>
          <w:rFonts w:ascii="Arial"/>
          <w:color w:val="000000"/>
          <w:sz w:val="24"/>
        </w:rPr>
        <w:t>located on a flood control map</w:t>
      </w:r>
      <w:r>
        <w:rPr>
          <w:rFonts w:ascii="Arial"/>
          <w:color w:val="000000"/>
          <w:sz w:val="24"/>
        </w:rPr>
        <w:t xml:space="preserve">, and the proposed </w:t>
      </w:r>
      <w:r>
        <w:rPr>
          <w:rFonts w:ascii="Arial"/>
          <w:color w:val="000000"/>
          <w:sz w:val="24"/>
        </w:rPr>
        <w:t xml:space="preserve">development incorporates onsite detention of water. A condition of consent </w:t>
      </w:r>
      <w:r>
        <w:rPr>
          <w:rFonts w:ascii="Arial"/>
          <w:color w:val="000000"/>
          <w:sz w:val="24"/>
        </w:rPr>
        <w:t xml:space="preserve">limits </w:t>
      </w:r>
      <w:r>
        <w:rPr>
          <w:rFonts w:ascii="Arial"/>
          <w:color w:val="000000"/>
          <w:sz w:val="24"/>
        </w:rPr>
        <w:t xml:space="preserve">the peak stormwater flow rate that may be discharged from the site to the public realm, in events of intensity up to the ARI </w:t>
      </w:r>
      <w:r>
        <w:rPr>
          <w:rFonts w:ascii="Arial"/>
          <w:color w:val="000000"/>
          <w:sz w:val="24"/>
        </w:rPr>
        <w:t>100 year</w:t>
      </w:r>
      <w:r>
        <w:rPr>
          <w:rFonts w:ascii="Arial"/>
          <w:color w:val="000000"/>
          <w:sz w:val="24"/>
        </w:rPr>
        <w:t xml:space="preserve"> design storm.</w:t>
      </w:r>
    </w:p>
    <w:p>
      <w:pPr>
        <w:pStyle w:val="CaselawHeading2"/>
        <w:keepNext/>
        <w:spacing w:before="150" w:after="150" w:line="264"/>
        <w:ind w:left="0"/>
        <w:jc w:val="left"/>
      </w:pPr>
      <w:r>
        <w:rPr>
          <w:rFonts w:ascii="Arial"/>
        </w:rPr>
        <w:t xml:space="preserve">Conclusion </w:t>
      </w:r>
    </w:p>
    <w:p>
      <w:pPr>
        <w:pStyle w:val="CaselawNumbered10"/>
        <w:numPr>
          <w:ilvl w:val="0"/>
          <w:numId w:val="57"/>
        </w:numPr>
        <w:spacing w:before="150" w:after="0"/>
        <w:ind w:left="600" w:hanging="600"/>
      </w:pPr>
      <w:r>
        <w:rPr>
          <w:rFonts w:ascii="Arial"/>
          <w:color w:val="000000"/>
          <w:sz w:val="24"/>
        </w:rPr>
        <w:t xml:space="preserve">For the reasons </w:t>
      </w:r>
      <w:r>
        <w:rPr>
          <w:rFonts w:ascii="Arial"/>
          <w:color w:val="000000"/>
          <w:sz w:val="24"/>
        </w:rPr>
        <w:t xml:space="preserve">I have already stated, I find the development application, as amended, </w:t>
      </w:r>
      <w:r>
        <w:rPr>
          <w:rFonts w:ascii="Arial"/>
          <w:color w:val="000000"/>
          <w:sz w:val="24"/>
        </w:rPr>
        <w:t xml:space="preserve">warrants the grant of consent, pursuant to s 4.16 of the EPA Act, </w:t>
      </w:r>
      <w:r>
        <w:rPr>
          <w:rFonts w:ascii="Arial"/>
          <w:color w:val="000000"/>
          <w:sz w:val="24"/>
        </w:rPr>
        <w:t xml:space="preserve">and </w:t>
      </w:r>
      <w:r>
        <w:rPr>
          <w:rFonts w:ascii="Arial"/>
          <w:color w:val="000000"/>
          <w:sz w:val="24"/>
        </w:rPr>
        <w:t xml:space="preserve">subject to conditions that are agreed between the parties. </w:t>
      </w:r>
    </w:p>
    <w:p>
      <w:pPr>
        <w:pStyle w:val="CaselawNumbered10"/>
        <w:numPr>
          <w:ilvl w:val="0"/>
          <w:numId w:val="57"/>
        </w:numPr>
        <w:spacing w:before="150" w:after="0"/>
        <w:ind w:left="600" w:hanging="600"/>
      </w:pPr>
      <w:r>
        <w:rPr>
          <w:rFonts w:ascii="Arial"/>
          <w:color w:val="000000"/>
          <w:sz w:val="24"/>
        </w:rPr>
        <w:t>I note the Respondent has agreed</w:t>
      </w:r>
      <w:r>
        <w:rPr>
          <w:rFonts w:ascii="Arial"/>
          <w:color w:val="000000"/>
          <w:sz w:val="24"/>
        </w:rPr>
        <w:t xml:space="preserve"> </w:t>
      </w:r>
      <w:r>
        <w:rPr>
          <w:rFonts w:ascii="Arial"/>
          <w:color w:val="000000"/>
          <w:sz w:val="24"/>
        </w:rPr>
        <w:t xml:space="preserve">under cl 55 of the </w:t>
      </w:r>
      <w:r>
        <w:rPr>
          <w:rFonts w:ascii="Arial"/>
          <w:color w:val="000000"/>
          <w:sz w:val="24"/>
        </w:rPr>
        <w:t>EPA Regulation</w:t>
      </w:r>
      <w:r>
        <w:rPr>
          <w:rFonts w:ascii="Arial"/>
          <w:color w:val="000000"/>
          <w:sz w:val="24"/>
        </w:rPr>
        <w:t>, as the relevant consent authority,</w:t>
      </w:r>
      <w:r>
        <w:rPr>
          <w:rFonts w:ascii="Arial"/>
          <w:color w:val="000000"/>
          <w:sz w:val="24"/>
        </w:rPr>
        <w:t xml:space="preserve"> </w:t>
      </w:r>
      <w:r>
        <w:rPr>
          <w:rFonts w:ascii="Arial"/>
          <w:color w:val="000000"/>
          <w:sz w:val="24"/>
        </w:rPr>
        <w:t xml:space="preserve">to the Applicant amending </w:t>
      </w:r>
      <w:r>
        <w:rPr>
          <w:rFonts w:ascii="Arial"/>
          <w:color w:val="000000"/>
          <w:sz w:val="24"/>
        </w:rPr>
        <w:t>the development application</w:t>
      </w:r>
      <w:r>
        <w:rPr>
          <w:rFonts w:ascii="Arial"/>
          <w:color w:val="000000"/>
          <w:sz w:val="24"/>
        </w:rPr>
        <w:t xml:space="preserve">. I also note that evidence of the amended application being lodged on the NSW Planning Portal was provided to the Court on 13 September 2022. </w:t>
      </w:r>
    </w:p>
    <w:p>
      <w:pPr>
        <w:pStyle w:val="CaselawHeading2"/>
        <w:keepNext/>
        <w:spacing w:before="150" w:after="150" w:line="264"/>
        <w:ind w:left="0"/>
        <w:jc w:val="left"/>
      </w:pPr>
      <w:r>
        <w:rPr>
          <w:rFonts w:ascii="Arial"/>
        </w:rPr>
        <w:t>Orders</w:t>
      </w:r>
    </w:p>
    <w:p>
      <w:pPr>
        <w:pStyle w:val="CaselawNumbered10"/>
        <w:numPr>
          <w:ilvl w:val="0"/>
          <w:numId w:val="58"/>
        </w:numPr>
        <w:spacing w:before="150" w:after="0"/>
        <w:ind w:left="600" w:hanging="600"/>
      </w:pPr>
      <w:r>
        <w:rPr>
          <w:rFonts w:ascii="Arial"/>
          <w:color w:val="000000"/>
          <w:sz w:val="24"/>
        </w:rPr>
        <w:t>The Court orders that:</w:t>
      </w:r>
    </w:p>
    <w:p>
      <w:pPr>
        <w:pStyle w:val="CaselawNumbered1"/>
        <w:numPr>
          <w:ilvl w:val="0"/>
          <w:numId w:val="59"/>
        </w:numPr>
        <w:spacing w:before="150" w:after="0"/>
        <w:ind w:left="1350" w:hanging="750"/>
      </w:pPr>
      <w:r>
        <w:rPr>
          <w:rFonts w:ascii="Arial"/>
          <w:color w:val="000000"/>
          <w:sz w:val="24"/>
        </w:rPr>
        <w:t xml:space="preserve">The appeal is upheld. </w:t>
      </w:r>
    </w:p>
    <w:p>
      <w:pPr>
        <w:pStyle w:val="CaselawNumbered1"/>
        <w:numPr>
          <w:ilvl w:val="0"/>
          <w:numId w:val="59"/>
        </w:numPr>
        <w:spacing w:before="150" w:after="0"/>
        <w:ind w:left="1350" w:hanging="750"/>
      </w:pPr>
      <w:r>
        <w:rPr>
          <w:rFonts w:ascii="Arial"/>
          <w:color w:val="000000"/>
          <w:sz w:val="24"/>
        </w:rPr>
        <w:t xml:space="preserve">Development application DA 21/0689 for the demolition of existing buildings and the construction of a </w:t>
      </w:r>
      <w:r>
        <w:rPr>
          <w:rFonts w:ascii="Arial"/>
          <w:color w:val="000000"/>
          <w:sz w:val="24"/>
        </w:rPr>
        <w:t>12 storey</w:t>
      </w:r>
      <w:r>
        <w:rPr>
          <w:rFonts w:ascii="Arial"/>
          <w:color w:val="000000"/>
          <w:sz w:val="24"/>
        </w:rPr>
        <w:t xml:space="preserve"> </w:t>
      </w:r>
      <w:r>
        <w:rPr>
          <w:rFonts w:ascii="Arial"/>
          <w:color w:val="000000"/>
          <w:sz w:val="24"/>
        </w:rPr>
        <w:t>residential flat building containing 96 units and 3 levels of basement parking (in addition to 2 part levels), tree removal, site consolidation and strata subdivision</w:t>
      </w:r>
      <w:r>
        <w:rPr>
          <w:rFonts w:ascii="Arial"/>
          <w:color w:val="000000"/>
          <w:sz w:val="24"/>
        </w:rPr>
        <w:t xml:space="preserve"> </w:t>
      </w:r>
      <w:r>
        <w:rPr>
          <w:rFonts w:ascii="Arial"/>
          <w:color w:val="000000"/>
          <w:sz w:val="24"/>
        </w:rPr>
        <w:t xml:space="preserve">is determined by the grant of consent, subject to conditions of consent at Annexure A. </w:t>
      </w:r>
    </w:p>
    <w:p>
      <w:pPr>
        <w:pStyle w:val="CaselawNumbered1"/>
        <w:numPr>
          <w:ilvl w:val="0"/>
          <w:numId w:val="59"/>
        </w:numPr>
        <w:spacing w:before="150" w:after="0"/>
        <w:ind w:left="1350" w:hanging="750"/>
      </w:pPr>
      <w:r>
        <w:rPr>
          <w:rFonts w:ascii="Arial"/>
          <w:color w:val="000000"/>
          <w:sz w:val="24"/>
        </w:rPr>
        <w:t xml:space="preserve">All Exhibits are returned, but for Exhibits </w:t>
      </w:r>
      <w:r>
        <w:rPr>
          <w:rFonts w:ascii="Arial"/>
          <w:color w:val="000000"/>
          <w:sz w:val="24"/>
        </w:rPr>
        <w:t>A</w:t>
      </w:r>
      <w:r>
        <w:rPr>
          <w:rFonts w:ascii="Arial"/>
          <w:color w:val="000000"/>
          <w:sz w:val="24"/>
        </w:rPr>
        <w:t>, D</w:t>
      </w:r>
      <w:r>
        <w:rPr>
          <w:rFonts w:ascii="Arial"/>
          <w:color w:val="000000"/>
          <w:sz w:val="24"/>
        </w:rPr>
        <w:t xml:space="preserve"> </w:t>
      </w:r>
      <w:r>
        <w:rPr>
          <w:rFonts w:ascii="Arial"/>
          <w:color w:val="000000"/>
          <w:sz w:val="24"/>
        </w:rPr>
        <w:t>and 9.</w:t>
      </w:r>
    </w:p>
    <w:p>
      <w:pPr>
        <w:pStyle w:val="CaselawNormal"/>
        <w:spacing w:before="150" w:after="150"/>
        <w:ind w:left="600"/>
        <w:jc w:val="left"/>
      </w:pPr>
      <w:r>
        <w:rPr>
          <w:rFonts w:ascii="Arial"/>
          <w:b/>
          <w:color w:val="000000"/>
          <w:sz w:val="24"/>
        </w:rPr>
        <w:t>……………………</w:t>
      </w:r>
    </w:p>
    <w:p>
      <w:pPr>
        <w:pStyle w:val="CaselawNormal"/>
        <w:spacing w:before="150" w:after="150"/>
        <w:ind w:left="600"/>
        <w:jc w:val="left"/>
      </w:pPr>
      <w:r>
        <w:rPr>
          <w:rFonts w:ascii="Arial"/>
          <w:b/>
          <w:color w:val="000000"/>
          <w:sz w:val="24"/>
        </w:rPr>
        <w:t>T Horton</w:t>
      </w:r>
    </w:p>
    <w:p>
      <w:pPr>
        <w:pStyle w:val="CaselawNormal"/>
        <w:spacing w:before="150" w:after="150"/>
        <w:ind w:left="600"/>
        <w:jc w:val="left"/>
      </w:pPr>
      <w:r>
        <w:rPr>
          <w:rFonts w:ascii="Arial"/>
          <w:b/>
          <w:color w:val="000000"/>
          <w:sz w:val="24"/>
        </w:rPr>
        <w:t>Commissioner of the Court</w:t>
      </w:r>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6"/>
    <w:lvlOverride w:ilvl="0">
      <w:startOverride w:val="8"/>
    </w:lvlOverride>
  </w:num>
  <w:num w:numId="25">
    <w:abstractNumId w:val="16"/>
    <w:lvlOverride w:ilvl="0">
      <w:startOverride w:val="11"/>
    </w:lvlOverride>
  </w:num>
  <w:num w:numId="26">
    <w:abstractNumId w:val="16"/>
    <w:lvlOverride w:ilvl="0">
      <w:startOverride w:val="18"/>
    </w:lvlOverride>
  </w:num>
  <w:num w:numId="27">
    <w:abstractNumId w:val="8"/>
    <w:lvlOverride w:ilvl="0">
      <w:startOverride w:val="1"/>
    </w:lvlOverride>
  </w:num>
  <w:num w:numId="28">
    <w:abstractNumId w:val="16"/>
    <w:lvlOverride w:ilvl="0">
      <w:startOverride w:val="20"/>
    </w:lvlOverride>
  </w:num>
  <w:num w:numId="29">
    <w:abstractNumId w:val="16"/>
    <w:lvlOverride w:ilvl="0">
      <w:startOverride w:val="22"/>
    </w:lvlOverride>
  </w:num>
  <w:num w:numId="30">
    <w:abstractNumId w:val="16"/>
    <w:lvlOverride w:ilvl="0">
      <w:startOverride w:val="24"/>
    </w:lvlOverride>
  </w:num>
  <w:num w:numId="31">
    <w:abstractNumId w:val="16"/>
    <w:lvlOverride w:ilvl="0">
      <w:startOverride w:val="28"/>
    </w:lvlOverride>
  </w:num>
  <w:num w:numId="32">
    <w:abstractNumId w:val="16"/>
    <w:lvlOverride w:ilvl="0">
      <w:startOverride w:val="30"/>
    </w:lvlOverride>
  </w:num>
  <w:num w:numId="33">
    <w:abstractNumId w:val="16"/>
    <w:lvlOverride w:ilvl="0">
      <w:startOverride w:val="32"/>
    </w:lvlOverride>
  </w:num>
  <w:num w:numId="34">
    <w:abstractNumId w:val="10"/>
    <w:lvlOverride w:ilvl="0">
      <w:startOverride w:val="1"/>
    </w:lvlOverride>
  </w:num>
  <w:num w:numId="35">
    <w:abstractNumId w:val="16"/>
    <w:lvlOverride w:ilvl="0">
      <w:startOverride w:val="41"/>
    </w:lvlOverride>
  </w:num>
  <w:num w:numId="36">
    <w:abstractNumId w:val="10"/>
    <w:lvlOverride w:ilvl="0">
      <w:startOverride w:val="1"/>
    </w:lvlOverride>
  </w:num>
  <w:num w:numId="37">
    <w:abstractNumId w:val="10"/>
    <w:lvlOverride w:ilvl="0">
      <w:startOverride w:val="5"/>
    </w:lvlOverride>
  </w:num>
  <w:num w:numId="38">
    <w:abstractNumId w:val="10"/>
    <w:lvlOverride w:ilvl="0">
      <w:startOverride w:val="6"/>
    </w:lvlOverride>
  </w:num>
  <w:num w:numId="39">
    <w:abstractNumId w:val="10"/>
    <w:lvlOverride w:ilvl="0">
      <w:startOverride w:val="14"/>
    </w:lvlOverride>
  </w:num>
  <w:num w:numId="40">
    <w:abstractNumId w:val="10"/>
    <w:lvlOverride w:ilvl="0">
      <w:startOverride w:val="15"/>
    </w:lvlOverride>
  </w:num>
  <w:num w:numId="41">
    <w:abstractNumId w:val="10"/>
    <w:lvlOverride w:ilvl="0">
      <w:startOverride w:val="22"/>
    </w:lvlOverride>
  </w:num>
  <w:num w:numId="42">
    <w:abstractNumId w:val="16"/>
    <w:lvlOverride w:ilvl="0">
      <w:startOverride w:val="42"/>
    </w:lvlOverride>
  </w:num>
  <w:num w:numId="43">
    <w:abstractNumId w:val="16"/>
    <w:lvlOverride w:ilvl="0">
      <w:startOverride w:val="43"/>
    </w:lvlOverride>
  </w:num>
  <w:num w:numId="44">
    <w:abstractNumId w:val="16"/>
    <w:lvlOverride w:ilvl="0">
      <w:startOverride w:val="45"/>
    </w:lvlOverride>
  </w:num>
  <w:num w:numId="45">
    <w:abstractNumId w:val="16"/>
    <w:lvlOverride w:ilvl="0">
      <w:startOverride w:val="51"/>
    </w:lvlOverride>
  </w:num>
  <w:num w:numId="46">
    <w:abstractNumId w:val="16"/>
    <w:lvlOverride w:ilvl="0">
      <w:startOverride w:val="52"/>
    </w:lvlOverride>
  </w:num>
  <w:num w:numId="47">
    <w:abstractNumId w:val="16"/>
    <w:lvlOverride w:ilvl="0">
      <w:startOverride w:val="54"/>
    </w:lvlOverride>
  </w:num>
  <w:num w:numId="48">
    <w:abstractNumId w:val="16"/>
    <w:lvlOverride w:ilvl="0">
      <w:startOverride w:val="57"/>
    </w:lvlOverride>
  </w:num>
  <w:num w:numId="49">
    <w:abstractNumId w:val="16"/>
    <w:lvlOverride w:ilvl="0">
      <w:startOverride w:val="59"/>
    </w:lvlOverride>
  </w:num>
  <w:num w:numId="50">
    <w:abstractNumId w:val="16"/>
    <w:lvlOverride w:ilvl="0">
      <w:startOverride w:val="61"/>
    </w:lvlOverride>
  </w:num>
  <w:num w:numId="51">
    <w:abstractNumId w:val="16"/>
    <w:lvlOverride w:ilvl="0">
      <w:startOverride w:val="64"/>
    </w:lvlOverride>
  </w:num>
  <w:num w:numId="52">
    <w:abstractNumId w:val="8"/>
    <w:lvlOverride w:ilvl="0">
      <w:startOverride w:val="1"/>
    </w:lvlOverride>
  </w:num>
  <w:num w:numId="53">
    <w:abstractNumId w:val="16"/>
    <w:lvlOverride w:ilvl="0">
      <w:startOverride w:val="65"/>
    </w:lvlOverride>
  </w:num>
  <w:num w:numId="54">
    <w:abstractNumId w:val="16"/>
    <w:lvlOverride w:ilvl="0">
      <w:startOverride w:val="70"/>
    </w:lvlOverride>
  </w:num>
  <w:num w:numId="55">
    <w:abstractNumId w:val="16"/>
    <w:lvlOverride w:ilvl="0">
      <w:startOverride w:val="71"/>
    </w:lvlOverride>
  </w:num>
  <w:num w:numId="56">
    <w:abstractNumId w:val="16"/>
    <w:lvlOverride w:ilvl="0">
      <w:startOverride w:val="78"/>
    </w:lvlOverride>
  </w:num>
  <w:num w:numId="57">
    <w:abstractNumId w:val="16"/>
    <w:lvlOverride w:ilvl="0">
      <w:startOverride w:val="79"/>
    </w:lvlOverride>
  </w:num>
  <w:num w:numId="58">
    <w:abstractNumId w:val="16"/>
    <w:lvlOverride w:ilvl="0">
      <w:startOverride w:val="81"/>
    </w:lvlOverride>
  </w:num>
  <w:num w:numId="59">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_Ref116934341" Type="http://schemas.openxmlformats.org/officeDocument/2006/relationships/hyperlink" Id="rId13"/><Relationship TargetMode="External" Target="#_Ref116934341" Type="http://schemas.openxmlformats.org/officeDocument/2006/relationships/hyperlink" Id="rId14"/><Relationship TargetMode="External" Target="#_Ref118293192" Type="http://schemas.openxmlformats.org/officeDocument/2006/relationships/hyperlink" Id="rId15"/><Relationship TargetMode="External" Target="#_Ref118293192" Type="http://schemas.openxmlformats.org/officeDocument/2006/relationships/hyperlink" Id="rId16"/><Relationship TargetMode="External" Target="#_Ref116900838" Type="http://schemas.openxmlformats.org/officeDocument/2006/relationships/hyperlink" Id="rId17"/><Relationship TargetMode="External" Target="#_Ref116900838" Type="http://schemas.openxmlformats.org/officeDocument/2006/relationships/hyperlink" Id="rId18"/><Relationship TargetMode="External" Target="#_Ref116902353" Type="http://schemas.openxmlformats.org/officeDocument/2006/relationships/hyperlink" Id="rId19"/><Relationship TargetMode="External" Target="#_Ref116902353" Type="http://schemas.openxmlformats.org/officeDocument/2006/relationships/hyperlink" Id="rId20"/><Relationship TargetMode="External" Target="#_Ref113912586" Type="http://schemas.openxmlformats.org/officeDocument/2006/relationships/hyperlink" Id="rId21"/><Relationship TargetMode="External" Target="#_Ref113912586" Type="http://schemas.openxmlformats.org/officeDocument/2006/relationships/hyperlink" Id="rId22"/><Relationship TargetMode="External" Target="#_Ref116931578" Type="http://schemas.openxmlformats.org/officeDocument/2006/relationships/hyperlink" Id="rId23"/><Relationship TargetMode="External" Target="#_Ref116931578" Type="http://schemas.openxmlformats.org/officeDocument/2006/relationships/hyperlink" Id="rId24"/><Relationship TargetMode="External" Target="#_Ref116931588" Type="http://schemas.openxmlformats.org/officeDocument/2006/relationships/hyperlink" Id="rId25"/><Relationship TargetMode="External" Target="#_Ref116931588" Type="http://schemas.openxmlformats.org/officeDocument/2006/relationships/hyperlink" Id="rId26"/><Relationship TargetMode="External" Target="#_Ref116900838" Type="http://schemas.openxmlformats.org/officeDocument/2006/relationships/hyperlink" Id="rId27"/><Relationship TargetMode="External" Target="#_Ref116900838" Type="http://schemas.openxmlformats.org/officeDocument/2006/relationships/hyperlink" Id="rId28"/><Relationship Target="media/document_image_rId29.png" Type="http://schemas.openxmlformats.org/officeDocument/2006/relationships/image" Id="rId29"/></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